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938"/>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p>
    <w:p>
      <w:pPr>
        <w:pStyle w:val="938"/>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938"/>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38"/>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38"/>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JSZC-320200-JZCG-G2026-0028</w:t>
      </w:r>
      <w:r>
        <w:rPr>
          <w:color w:val="000000" w:themeColor="text1"/>
          <w:highlight w:val="none"/>
        </w:rP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项目名称：省预算管理一体化系统运维服务项目(2026-2027)</w:t>
      </w:r>
      <w:r>
        <w:rPr>
          <w:color w:val="000000" w:themeColor="text1"/>
          <w:highlight w:val="none"/>
        </w:rP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人：无锡市财政局</w:t>
      </w:r>
      <w:r>
        <w:rPr>
          <w:color w:val="000000" w:themeColor="text1"/>
          <w:highlight w:val="none"/>
        </w:rP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938"/>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38"/>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38"/>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38"/>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p>
    <w:p>
      <w:pPr>
        <w:pStyle w:val="938"/>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二〇二六年</w:t>
      </w:r>
      <w:r>
        <w:rPr>
          <w:rFonts w:hint="eastAsia" w:ascii="黑体" w:hAnsi="华文中宋" w:eastAsia="黑体"/>
          <w:bCs/>
          <w:color w:val="000000" w:themeColor="text1"/>
          <w:sz w:val="32"/>
          <w:szCs w:val="32"/>
          <w:highlight w:val="none"/>
          <w:lang w:val="en-US" w:eastAsia="zh-CN"/>
        </w:rPr>
        <w:t xml:space="preserve">四</w:t>
      </w:r>
      <w:r>
        <w:rPr>
          <w:rFonts w:hint="eastAsia" w:ascii="黑体" w:hAnsi="华文中宋" w:eastAsia="黑体"/>
          <w:bCs/>
          <w:color w:val="000000" w:themeColor="text1"/>
          <w:sz w:val="32"/>
          <w:szCs w:val="32"/>
          <w:highlight w:val="none"/>
        </w:rPr>
        <w:t xml:space="preserve">月</w:t>
      </w:r>
      <w:r>
        <w:rPr>
          <w:color w:val="000000" w:themeColor="text1"/>
          <w:highlight w:val="none"/>
        </w:rPr>
      </w:r>
    </w:p>
    <w:p>
      <w:pPr>
        <w:pStyle w:val="938"/>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523127445"/>
      <w:r>
        <w:rPr>
          <w:color w:val="000000" w:themeColor="text1"/>
          <w:highlight w:val="none"/>
        </w:rPr>
      </w:r>
      <w:bookmarkStart w:id="2" w:name="_Toc479757206"/>
      <w:r>
        <w:rPr>
          <w:color w:val="000000" w:themeColor="text1"/>
          <w:highlight w:val="none"/>
        </w:rPr>
      </w:r>
      <w:bookmarkStart w:id="3" w:name="_Toc513029200"/>
      <w:r>
        <w:rPr>
          <w:color w:val="000000" w:themeColor="text1"/>
          <w:highlight w:val="none"/>
        </w:rPr>
      </w:r>
      <w:bookmarkStart w:id="4" w:name="_Toc16938516"/>
      <w:r>
        <w:rPr>
          <w:color w:val="000000" w:themeColor="text1"/>
          <w:highlight w:val="none"/>
        </w:rPr>
      </w:r>
      <w:bookmarkStart w:id="5" w:name="_Toc20823272"/>
      <w:r>
        <w:rPr>
          <w:rFonts w:hint="eastAsia" w:ascii="黑体" w:hAnsi="黑体" w:eastAsia="黑体"/>
          <w:color w:val="000000" w:themeColor="text1"/>
          <w:sz w:val="36"/>
          <w:szCs w:val="36"/>
          <w:highlight w:val="none"/>
        </w:rPr>
        <w:t xml:space="preserve">总  目  录</w:t>
      </w:r>
      <w:r>
        <w:rPr>
          <w:color w:val="000000" w:themeColor="text1"/>
          <w:highlight w:val="none"/>
        </w:rPr>
      </w:r>
    </w:p>
    <w:p>
      <w:pPr>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color w:val="000000" w:themeColor="text1"/>
          <w:highlight w:val="none"/>
        </w:rP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color w:val="000000" w:themeColor="text1"/>
          <w:highlight w:val="none"/>
        </w:rP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color w:val="000000" w:themeColor="text1"/>
          <w:highlight w:val="none"/>
        </w:rP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color w:val="000000" w:themeColor="text1"/>
          <w:highlight w:val="none"/>
        </w:rP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color w:val="000000" w:themeColor="text1"/>
          <w:highlight w:val="none"/>
        </w:rP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color w:val="000000" w:themeColor="text1"/>
          <w:highlight w:val="none"/>
        </w:rP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bookmarkEnd w:id="0"/>
      <w:r>
        <w:rPr>
          <w:color w:val="000000" w:themeColor="text1"/>
        </w:rPr>
      </w:r>
      <w:r>
        <w:rPr>
          <w:color w:val="000000" w:themeColor="text1"/>
          <w:highlight w:val="none"/>
        </w:rPr>
      </w:r>
    </w:p>
    <w:p>
      <w:pPr>
        <w:ind w:firstLine="480"/>
        <w:spacing w:line="500" w:lineRule="exact"/>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受无锡市财政局的委托，无锡市公共资源交易中心就省预算管理一体化系统运维服务项目(2026-2027)（</w:t>
      </w:r>
      <w:r>
        <w:rPr>
          <w:rFonts w:hint="eastAsia" w:ascii="宋体" w:hAnsi="宋体"/>
          <w:color w:val="000000" w:themeColor="text1"/>
          <w:sz w:val="24"/>
          <w:szCs w:val="24"/>
          <w:highlight w:val="none"/>
          <w:lang w:eastAsia="zh-CN"/>
        </w:rPr>
        <w:t xml:space="preserve">JSZC-320200-JZCG-G2026-0028</w:t>
      </w:r>
      <w:r>
        <w:rPr>
          <w:rFonts w:hint="eastAsia" w:ascii="宋体" w:hAnsi="宋体"/>
          <w:color w:val="000000" w:themeColor="text1"/>
          <w:sz w:val="24"/>
          <w:szCs w:val="24"/>
          <w:highlight w:val="none"/>
        </w:rPr>
        <w:t xml:space="preserve">）进行公开招标采购，欢迎符合条件的供应商投标。</w:t>
      </w:r>
      <w:r>
        <w:rPr>
          <w:color w:val="000000" w:themeColor="text1"/>
          <w:highlight w:val="none"/>
        </w:rP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省预算管理一体化系统运维服务项目(2026-2027)采购项目的潜在投标人应在“江苏政府采购网”自行浏览招标文件，如有投标意向须在本招标文件有效获取期内通过登录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p>
    <w:p>
      <w:pPr>
        <w:pStyle w:val="853"/>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28359079"/>
      <w:r>
        <w:rPr>
          <w:color w:val="000000" w:themeColor="text1"/>
          <w:highlight w:val="none"/>
        </w:rPr>
      </w:r>
      <w:bookmarkStart w:id="7" w:name="_Toc38985263"/>
      <w:r>
        <w:rPr>
          <w:color w:val="000000" w:themeColor="text1"/>
          <w:highlight w:val="none"/>
        </w:rPr>
      </w:r>
      <w:bookmarkStart w:id="8" w:name="_Toc28359002"/>
      <w:r>
        <w:rPr>
          <w:color w:val="000000" w:themeColor="text1"/>
          <w:highlight w:val="none"/>
        </w:rPr>
      </w:r>
      <w:bookmarkStart w:id="9" w:name="_Toc35393621"/>
      <w:r>
        <w:rPr>
          <w:color w:val="000000" w:themeColor="text1"/>
          <w:highlight w:val="none"/>
        </w:rPr>
      </w:r>
      <w:bookmarkStart w:id="10" w:name="_Toc35393790"/>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rPr>
          <w:color w:val="000000" w:themeColor="text1"/>
          <w:highlight w:val="none"/>
        </w:rP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JSZC-320200-JZCG-G2026-0028</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2.项目名称：省预算管理一体化系统运维服务项目(2026-2027)</w:t>
      </w:r>
      <w:bookmarkEnd w:id="11"/>
      <w:r>
        <w:rPr>
          <w:color w:val="000000" w:themeColor="text1"/>
        </w:rPr>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3.项目预算金额：310万元</w:t>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4.项目最高限价：310万元</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8.本项目不接受联合体投标。</w:t>
      </w:r>
      <w:r>
        <w:rPr>
          <w:color w:val="000000" w:themeColor="text1"/>
          <w:highlight w:val="none"/>
        </w:rPr>
      </w:r>
    </w:p>
    <w:p>
      <w:pPr>
        <w:pStyle w:val="853"/>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8985264"/>
      <w:r>
        <w:rPr>
          <w:color w:val="000000" w:themeColor="text1"/>
          <w:highlight w:val="none"/>
        </w:rPr>
      </w:r>
      <w:bookmarkStart w:id="13" w:name="_Toc35393622"/>
      <w:r>
        <w:rPr>
          <w:color w:val="000000" w:themeColor="text1"/>
          <w:highlight w:val="none"/>
        </w:rPr>
      </w:r>
      <w:bookmarkStart w:id="14" w:name="_Toc28359003"/>
      <w:r>
        <w:rPr>
          <w:color w:val="000000" w:themeColor="text1"/>
          <w:highlight w:val="none"/>
        </w:rPr>
      </w:r>
      <w:bookmarkStart w:id="15" w:name="_Toc28359080"/>
      <w:r>
        <w:rPr>
          <w:color w:val="000000" w:themeColor="text1"/>
          <w:highlight w:val="none"/>
        </w:rPr>
      </w:r>
      <w:bookmarkStart w:id="16" w:name="_Toc35393791"/>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rPr>
          <w:color w:val="000000" w:themeColor="text1"/>
          <w:highlight w:val="none"/>
        </w:rPr>
      </w:r>
    </w:p>
    <w:p>
      <w:pPr>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792"/>
      <w:r>
        <w:rPr>
          <w:color w:val="000000" w:themeColor="text1"/>
          <w:highlight w:val="none"/>
        </w:rPr>
      </w:r>
      <w:bookmarkStart w:id="18" w:name="_Toc35393623"/>
      <w:r>
        <w:rPr>
          <w:color w:val="000000" w:themeColor="text1"/>
          <w:highlight w:val="none"/>
        </w:rPr>
      </w:r>
      <w:bookmarkStart w:id="19" w:name="_Toc28359004"/>
      <w:r>
        <w:rPr>
          <w:color w:val="000000" w:themeColor="text1"/>
          <w:highlight w:val="none"/>
        </w:rPr>
      </w:r>
      <w:bookmarkStart w:id="20" w:name="_Toc28359081"/>
      <w:r>
        <w:rPr>
          <w:color w:val="000000" w:themeColor="text1"/>
          <w:highlight w:val="none"/>
        </w:rPr>
      </w:r>
      <w:bookmarkStart w:id="21" w:name="_Toc38985265"/>
      <w:r>
        <w:rPr>
          <w:rFonts w:hint="eastAsia" w:ascii="宋体" w:hAnsi="宋体"/>
          <w:color w:val="000000" w:themeColor="text1"/>
          <w:sz w:val="24"/>
          <w:szCs w:val="24"/>
          <w:highlight w:val="none"/>
        </w:rPr>
        <w:t xml:space="preserve">1.满足《中华人民共和国政府采购法》第二十二条规定；</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2.1中小企业政策：无</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3.本项目的特定资格要求：无。</w:t>
      </w:r>
      <w:r>
        <w:rPr>
          <w:color w:val="000000" w:themeColor="text1"/>
          <w:highlight w:val="none"/>
        </w:rPr>
      </w:r>
    </w:p>
    <w:p>
      <w:pPr>
        <w:pStyle w:val="853"/>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rPr>
          <w:color w:val="000000" w:themeColor="text1"/>
          <w:highlight w:val="none"/>
        </w:rPr>
      </w:r>
    </w:p>
    <w:p>
      <w:pPr>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5393624"/>
      <w:r>
        <w:rPr>
          <w:color w:val="000000" w:themeColor="text1"/>
          <w:highlight w:val="none"/>
        </w:rPr>
      </w:r>
      <w:bookmarkStart w:id="25" w:name="_Toc38985266"/>
      <w:r>
        <w:rPr>
          <w:color w:val="000000" w:themeColor="text1"/>
          <w:highlight w:val="none"/>
        </w:rPr>
      </w:r>
      <w:bookmarkStart w:id="26" w:name="_Toc35393793"/>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color w:val="000000" w:themeColor="text1"/>
          <w:highlight w:val="none"/>
        </w:rPr>
      </w:r>
    </w:p>
    <w:p>
      <w:pPr>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color w:val="000000" w:themeColor="text1"/>
          <w:highlight w:val="none"/>
        </w:rPr>
      </w:r>
    </w:p>
    <w:p>
      <w:pPr>
        <w:ind w:firstLine="540"/>
        <w:spacing w:line="500" w:lineRule="exact"/>
        <w:rPr>
          <w:rStyle w:val="927"/>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“江苏省政府采购（苏采云）平台”（http://jszfcg.jsczt.cn/）获取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“江苏省政府采购（苏采云）平台”获取的</w:t>
      </w:r>
      <w:r>
        <w:rPr>
          <w:rFonts w:hint="eastAsia" w:ascii="宋体" w:hAnsi="宋体"/>
          <w:bCs/>
          <w:color w:val="000000" w:themeColor="text1"/>
          <w:sz w:val="24"/>
          <w:szCs w:val="24"/>
          <w:highlight w:val="none"/>
        </w:rPr>
        <w:t xml:space="preserve">招标文件，视为依法获取的招标文件。</w:t>
      </w:r>
      <w:r>
        <w:rPr>
          <w:color w:val="000000" w:themeColor="text1"/>
          <w:highlight w:val="none"/>
        </w:rPr>
      </w:r>
    </w:p>
    <w:p>
      <w:pPr>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color w:val="000000" w:themeColor="text1"/>
          <w:highlight w:val="none"/>
        </w:rPr>
      </w:r>
    </w:p>
    <w:p>
      <w:pPr>
        <w:pStyle w:val="853"/>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1.时间：2026年5</w:t>
      </w:r>
      <w:r>
        <w:rPr>
          <w:rFonts w:hint="eastAsia" w:ascii="宋体" w:hAnsi="宋体"/>
          <w:bCs/>
          <w:color w:val="000000" w:themeColor="text1"/>
          <w:sz w:val="24"/>
          <w:szCs w:val="24"/>
          <w:highlight w:val="none"/>
        </w:rPr>
        <w:t xml:space="preserve">月</w:t>
      </w:r>
      <w:r>
        <w:rPr>
          <w:rFonts w:hint="eastAsia" w:ascii="宋体" w:hAnsi="宋体"/>
          <w:bCs/>
          <w:color w:val="000000" w:themeColor="text1"/>
          <w:sz w:val="24"/>
          <w:szCs w:val="24"/>
          <w:highlight w:val="none"/>
        </w:rPr>
        <w:t xml:space="preserve">13</w:t>
      </w:r>
      <w:r>
        <w:rPr>
          <w:rFonts w:hint="eastAsia" w:ascii="宋体" w:hAnsi="宋体"/>
          <w:bCs/>
          <w:color w:val="000000" w:themeColor="text1"/>
          <w:sz w:val="24"/>
          <w:szCs w:val="24"/>
          <w:highlight w:val="none"/>
        </w:rPr>
        <w:t xml:space="preserve">日</w:t>
      </w:r>
      <w:r>
        <w:rPr>
          <w:rFonts w:hint="eastAsia" w:ascii="宋体" w:hAnsi="宋体"/>
          <w:bCs/>
          <w:color w:val="000000" w:themeColor="text1"/>
          <w:sz w:val="24"/>
          <w:szCs w:val="24"/>
          <w:highlight w:val="none"/>
        </w:rPr>
        <w:t xml:space="preserve">09点30分（北京时间）</w:t>
      </w:r>
      <w:r>
        <w:rPr>
          <w:color w:val="000000" w:themeColor="text1"/>
          <w:highlight w:val="none"/>
        </w:rPr>
      </w:r>
    </w:p>
    <w:p>
      <w:pPr>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color w:val="000000" w:themeColor="text1"/>
          <w:highlight w:val="none"/>
        </w:rPr>
      </w:r>
    </w:p>
    <w:p>
      <w:pPr>
        <w:pStyle w:val="853"/>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35393625"/>
      <w:r>
        <w:rPr>
          <w:color w:val="000000" w:themeColor="text1"/>
          <w:highlight w:val="none"/>
        </w:rPr>
      </w:r>
      <w:bookmarkStart w:id="28" w:name="_Toc28359084"/>
      <w:r>
        <w:rPr>
          <w:color w:val="000000" w:themeColor="text1"/>
          <w:highlight w:val="none"/>
        </w:rPr>
      </w:r>
      <w:bookmarkStart w:id="29" w:name="_Toc35393794"/>
      <w:r>
        <w:rPr>
          <w:color w:val="000000" w:themeColor="text1"/>
          <w:highlight w:val="none"/>
        </w:rPr>
      </w:r>
      <w:bookmarkStart w:id="30" w:name="_Toc28359007"/>
      <w:r>
        <w:rPr>
          <w:color w:val="000000" w:themeColor="text1"/>
          <w:highlight w:val="none"/>
        </w:rPr>
      </w:r>
      <w:bookmarkStart w:id="31" w:name="_Toc38985267"/>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5393795"/>
      <w:r>
        <w:rPr>
          <w:color w:val="000000" w:themeColor="text1"/>
          <w:highlight w:val="none"/>
        </w:rPr>
      </w:r>
      <w:bookmarkStart w:id="33" w:name="_Toc38985268"/>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rPr>
          <w:color w:val="000000" w:themeColor="text1"/>
          <w:highlight w:val="none"/>
        </w:rPr>
      </w:r>
    </w:p>
    <w:p>
      <w:pPr>
        <w:pStyle w:val="853"/>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color w:val="000000" w:themeColor="text1"/>
          <w:highlight w:val="none"/>
        </w:rPr>
      </w:r>
    </w:p>
    <w:p>
      <w:pPr>
        <w:pStyle w:val="853"/>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5393627"/>
      <w:r>
        <w:rPr>
          <w:color w:val="000000" w:themeColor="text1"/>
          <w:highlight w:val="none"/>
        </w:rPr>
      </w:r>
      <w:bookmarkStart w:id="36" w:name="_Toc38985269"/>
      <w:r>
        <w:rPr>
          <w:color w:val="000000" w:themeColor="text1"/>
          <w:highlight w:val="none"/>
        </w:rPr>
      </w:r>
      <w:bookmarkStart w:id="37" w:name="_Toc28359008"/>
      <w:r>
        <w:rPr>
          <w:color w:val="000000" w:themeColor="text1"/>
          <w:highlight w:val="none"/>
        </w:rPr>
      </w:r>
      <w:bookmarkStart w:id="38" w:name="_Toc28359085"/>
      <w:r>
        <w:rPr>
          <w:color w:val="000000" w:themeColor="text1"/>
          <w:highlight w:val="none"/>
        </w:rPr>
      </w:r>
      <w:bookmarkStart w:id="39" w:name="_Toc35393796"/>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称：无锡市财政局</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址：无锡市市民中心3号楼910</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86"/>
      <w:r>
        <w:rPr>
          <w:color w:val="000000" w:themeColor="text1"/>
          <w:highlight w:val="none"/>
        </w:rPr>
      </w:r>
      <w:bookmarkStart w:id="41" w:name="_Toc28359009"/>
      <w:r>
        <w:rPr>
          <w:rFonts w:hint="eastAsia" w:ascii="宋体" w:hAnsi="宋体" w:cs="宋体"/>
          <w:color w:val="000000" w:themeColor="text1"/>
          <w:sz w:val="24"/>
          <w:szCs w:val="24"/>
          <w:highlight w:val="none"/>
        </w:rPr>
        <w:t xml:space="preserve">见“项目联系方式”</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采购人项目咨询联系人：联系人姓名</w:t>
      </w:r>
      <w:r>
        <w:rPr>
          <w:rFonts w:hint="eastAsia" w:ascii="宋体" w:hAnsi="宋体" w:eastAsia="宋体" w:cs="宋体"/>
          <w:color w:val="000000" w:themeColor="text1"/>
          <w:sz w:val="24"/>
          <w:szCs w:val="24"/>
          <w:highlight w:val="none"/>
          <w:lang w:eastAsia="zh-CN"/>
        </w:rPr>
        <w:t xml:space="preserve">：王佳婧</w:t>
      </w:r>
      <w:r>
        <w:rPr>
          <w:rFonts w:hint="eastAsia" w:ascii="宋体" w:hAnsi="宋体" w:cs="宋体"/>
          <w:color w:val="000000" w:themeColor="text1"/>
          <w:sz w:val="24"/>
          <w:szCs w:val="24"/>
          <w:highlight w:val="none"/>
        </w:rPr>
        <w:t xml:space="preserve">；电话：0510-81822227</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采购人质疑受理联系人：受理人姓名</w:t>
      </w:r>
      <w:r>
        <w:rPr>
          <w:rFonts w:hint="eastAsia" w:ascii="宋体" w:hAnsi="宋体" w:eastAsia="宋体" w:cs="宋体"/>
          <w:color w:val="000000" w:themeColor="text1"/>
          <w:sz w:val="24"/>
          <w:szCs w:val="24"/>
          <w:highlight w:val="none"/>
          <w:lang w:eastAsia="zh-CN"/>
        </w:rPr>
        <w:t xml:space="preserve">：王佳婧</w:t>
      </w:r>
      <w:r>
        <w:rPr>
          <w:rFonts w:hint="eastAsia" w:ascii="宋体" w:hAnsi="宋体" w:cs="宋体"/>
          <w:color w:val="000000" w:themeColor="text1"/>
          <w:sz w:val="24"/>
          <w:szCs w:val="24"/>
          <w:highlight w:val="none"/>
        </w:rPr>
        <w:t xml:space="preserve">；电话：0510-81822227</w:t>
      </w:r>
      <w:r>
        <w:rPr>
          <w:color w:val="000000" w:themeColor="text1"/>
          <w:highlight w:val="none"/>
        </w:rP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交易中心项目联系人：中心经办人姓名</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；电话：0510-81827747</w:t>
      </w:r>
      <w:r>
        <w:rPr>
          <w:color w:val="000000" w:themeColor="text1"/>
          <w:highlight w:val="none"/>
        </w:rPr>
      </w:r>
    </w:p>
    <w:p>
      <w:pPr>
        <w:pStyle w:val="853"/>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highlight w:val="none"/>
        </w:rP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进入界面。</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color w:val="000000" w:themeColor="text1"/>
          <w:highlight w:val="none"/>
        </w:rP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color w:val="000000" w:themeColor="text1"/>
          <w:highlight w:val="none"/>
        </w:rP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文件，如确定参加本次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color w:val="000000" w:themeColor="text1"/>
          <w:highlight w:val="none"/>
        </w:rP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color w:val="000000" w:themeColor="text1"/>
          <w:highlight w:val="none"/>
        </w:rP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color w:val="000000" w:themeColor="text1"/>
          <w:highlight w:val="none"/>
        </w:rP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color w:val="000000" w:themeColor="text1"/>
          <w:highlight w:val="none"/>
        </w:rP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20823274"/>
      <w:r>
        <w:rPr>
          <w:color w:val="000000" w:themeColor="text1"/>
          <w:highlight w:val="none"/>
        </w:rPr>
      </w:r>
      <w:bookmarkStart w:id="44" w:name="_Toc120614213"/>
      <w:r>
        <w:rPr>
          <w:color w:val="000000" w:themeColor="text1"/>
          <w:highlight w:val="none"/>
        </w:rPr>
      </w:r>
      <w:bookmarkStart w:id="45" w:name="_Toc513029202"/>
      <w:r>
        <w:rPr>
          <w:color w:val="000000" w:themeColor="text1"/>
          <w:highlight w:val="none"/>
        </w:rPr>
      </w:r>
      <w:bookmarkStart w:id="46" w:name="_Toc16938518"/>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r>
        <w:rPr>
          <w:color w:val="000000" w:themeColor="text1"/>
          <w:highlight w:val="none"/>
        </w:rPr>
      </w:r>
    </w:p>
    <w:p>
      <w:pPr>
        <w:pStyle w:val="853"/>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513029203"/>
      <w:r>
        <w:rPr>
          <w:color w:val="000000" w:themeColor="text1"/>
          <w:highlight w:val="none"/>
        </w:rPr>
      </w:r>
      <w:bookmarkStart w:id="48" w:name="_Toc120614214"/>
      <w:r>
        <w:rPr>
          <w:color w:val="000000" w:themeColor="text1"/>
          <w:highlight w:val="none"/>
        </w:rPr>
      </w:r>
      <w:bookmarkStart w:id="49" w:name="_Toc16938519"/>
      <w:r>
        <w:rPr>
          <w:color w:val="000000" w:themeColor="text1"/>
          <w:highlight w:val="none"/>
        </w:rPr>
      </w:r>
      <w:bookmarkStart w:id="50" w:name="_Toc20823275"/>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16938520"/>
      <w:r>
        <w:rPr>
          <w:color w:val="000000" w:themeColor="text1"/>
          <w:highlight w:val="none"/>
        </w:rPr>
      </w:r>
      <w:bookmarkStart w:id="53" w:name="_Toc20823276"/>
      <w:r>
        <w:rPr>
          <w:color w:val="000000" w:themeColor="text1"/>
          <w:highlight w:val="none"/>
        </w:rPr>
      </w:r>
      <w:bookmarkStart w:id="54" w:name="_Toc513029204"/>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color w:val="000000" w:themeColor="text1"/>
          <w:highlight w:val="none"/>
        </w:rPr>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513029205"/>
      <w:r>
        <w:rPr>
          <w:color w:val="000000" w:themeColor="text1"/>
          <w:highlight w:val="none"/>
        </w:rPr>
      </w:r>
      <w:bookmarkStart w:id="56" w:name="_Toc16938521"/>
      <w:r>
        <w:rPr>
          <w:color w:val="000000" w:themeColor="text1"/>
          <w:highlight w:val="none"/>
        </w:rPr>
      </w:r>
      <w:bookmarkStart w:id="57" w:name="_Toc20823277"/>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20823278"/>
      <w:r>
        <w:rPr>
          <w:color w:val="000000" w:themeColor="text1"/>
          <w:highlight w:val="none"/>
        </w:rPr>
      </w:r>
      <w:bookmarkStart w:id="59" w:name="_Toc513029206"/>
      <w:r>
        <w:rPr>
          <w:color w:val="000000" w:themeColor="text1"/>
          <w:highlight w:val="none"/>
        </w:rPr>
      </w:r>
      <w:bookmarkStart w:id="60" w:name="_Toc16938522"/>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color w:val="000000" w:themeColor="text1"/>
          <w:highlight w:val="none"/>
        </w:rPr>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20823279"/>
      <w:r>
        <w:rPr>
          <w:color w:val="000000" w:themeColor="text1"/>
          <w:highlight w:val="none"/>
        </w:rPr>
      </w:r>
      <w:bookmarkStart w:id="62" w:name="_Toc462564067"/>
      <w:r>
        <w:rPr>
          <w:color w:val="000000" w:themeColor="text1"/>
          <w:highlight w:val="none"/>
        </w:rPr>
      </w:r>
      <w:bookmarkStart w:id="63" w:name="_Toc513029207"/>
      <w:r>
        <w:rPr>
          <w:color w:val="000000" w:themeColor="text1"/>
          <w:highlight w:val="none"/>
        </w:rPr>
      </w:r>
      <w:bookmarkStart w:id="64" w:name="_Toc16938523"/>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color w:val="000000" w:themeColor="text1"/>
          <w:highlight w:val="none"/>
        </w:rPr>
      </w:r>
    </w:p>
    <w:p>
      <w:pPr>
        <w:pStyle w:val="853"/>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513029209"/>
      <w:r>
        <w:rPr>
          <w:color w:val="000000" w:themeColor="text1"/>
          <w:highlight w:val="none"/>
        </w:rPr>
      </w:r>
      <w:bookmarkStart w:id="66" w:name="_Toc16938525"/>
      <w:r>
        <w:rPr>
          <w:color w:val="000000" w:themeColor="text1"/>
          <w:highlight w:val="none"/>
        </w:rPr>
      </w:r>
      <w:bookmarkStart w:id="67" w:name="_Toc20823281"/>
      <w:r>
        <w:rPr>
          <w:color w:val="000000" w:themeColor="text1"/>
          <w:highlight w:val="none"/>
        </w:rPr>
      </w:r>
      <w:bookmarkStart w:id="68" w:name="_Toc120614215"/>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513029210"/>
      <w:r>
        <w:rPr>
          <w:color w:val="000000" w:themeColor="text1"/>
          <w:highlight w:val="none"/>
        </w:rPr>
      </w:r>
      <w:bookmarkStart w:id="70" w:name="_Toc20823282"/>
      <w:r>
        <w:rPr>
          <w:color w:val="000000" w:themeColor="text1"/>
          <w:highlight w:val="none"/>
        </w:rPr>
      </w:r>
      <w:bookmarkStart w:id="71" w:name="_Toc16938526"/>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color w:val="000000" w:themeColor="text1"/>
          <w:highlight w:val="none"/>
        </w:rP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513029211"/>
      <w:r>
        <w:rPr>
          <w:color w:val="000000" w:themeColor="text1"/>
          <w:highlight w:val="none"/>
        </w:rPr>
      </w:r>
      <w:bookmarkStart w:id="73" w:name="_Toc462564070"/>
      <w:r>
        <w:rPr>
          <w:color w:val="000000" w:themeColor="text1"/>
          <w:highlight w:val="none"/>
        </w:rPr>
      </w:r>
      <w:bookmarkStart w:id="74" w:name="_Toc16938527"/>
      <w:r>
        <w:rPr>
          <w:color w:val="000000" w:themeColor="text1"/>
          <w:highlight w:val="none"/>
        </w:rPr>
      </w:r>
      <w:bookmarkStart w:id="75" w:name="_Toc20823283"/>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r>
        <w:rPr>
          <w:color w:val="000000" w:themeColor="text1"/>
          <w:highlight w:val="none"/>
        </w:rP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462564071"/>
      <w:r>
        <w:rPr>
          <w:color w:val="000000" w:themeColor="text1"/>
          <w:highlight w:val="none"/>
        </w:rPr>
      </w:r>
      <w:bookmarkStart w:id="77" w:name="_Toc20823284"/>
      <w:r>
        <w:rPr>
          <w:color w:val="000000" w:themeColor="text1"/>
          <w:highlight w:val="none"/>
        </w:rPr>
      </w:r>
      <w:bookmarkStart w:id="78" w:name="_Toc16938528"/>
      <w:r>
        <w:rPr>
          <w:color w:val="000000" w:themeColor="text1"/>
          <w:highlight w:val="none"/>
        </w:rPr>
      </w:r>
      <w:bookmarkStart w:id="79" w:name="_Toc513029212"/>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color w:val="000000" w:themeColor="text1"/>
          <w:highlight w:val="none"/>
        </w:rPr>
      </w:r>
    </w:p>
    <w:p>
      <w:pPr>
        <w:pStyle w:val="853"/>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462564072"/>
      <w:r>
        <w:rPr>
          <w:color w:val="000000" w:themeColor="text1"/>
          <w:highlight w:val="none"/>
        </w:rPr>
      </w:r>
      <w:bookmarkStart w:id="81" w:name="_Toc513029213"/>
      <w:r>
        <w:rPr>
          <w:color w:val="000000" w:themeColor="text1"/>
          <w:highlight w:val="none"/>
        </w:rPr>
      </w:r>
      <w:bookmarkStart w:id="82" w:name="_Toc16938529"/>
      <w:r>
        <w:rPr>
          <w:color w:val="000000" w:themeColor="text1"/>
          <w:highlight w:val="none"/>
        </w:rPr>
      </w:r>
      <w:bookmarkStart w:id="83" w:name="_Toc20823285"/>
      <w:r>
        <w:rPr>
          <w:color w:val="000000" w:themeColor="text1"/>
          <w:highlight w:val="none"/>
        </w:rPr>
      </w:r>
      <w:bookmarkStart w:id="84" w:name="_Toc120614216"/>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462564073"/>
      <w:r>
        <w:rPr>
          <w:color w:val="000000" w:themeColor="text1"/>
          <w:highlight w:val="none"/>
        </w:rPr>
      </w:r>
      <w:bookmarkStart w:id="86" w:name="_Toc20823286"/>
      <w:r>
        <w:rPr>
          <w:color w:val="000000" w:themeColor="text1"/>
          <w:highlight w:val="none"/>
        </w:rPr>
      </w:r>
      <w:bookmarkStart w:id="87" w:name="_Toc16938530"/>
      <w:r>
        <w:rPr>
          <w:color w:val="000000" w:themeColor="text1"/>
          <w:highlight w:val="none"/>
        </w:rPr>
      </w:r>
      <w:bookmarkStart w:id="88" w:name="_Toc513029214"/>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16938531"/>
      <w:r>
        <w:rPr>
          <w:color w:val="000000" w:themeColor="text1"/>
          <w:highlight w:val="none"/>
        </w:rPr>
      </w:r>
      <w:bookmarkStart w:id="90" w:name="_Toc20823287"/>
      <w:r>
        <w:rPr>
          <w:color w:val="000000" w:themeColor="text1"/>
          <w:highlight w:val="none"/>
        </w:rPr>
      </w:r>
      <w:bookmarkStart w:id="91" w:name="_Toc462564074"/>
      <w:r>
        <w:rPr>
          <w:color w:val="000000" w:themeColor="text1"/>
          <w:highlight w:val="none"/>
        </w:rPr>
      </w:r>
      <w:bookmarkStart w:id="92" w:name="_Toc513029215"/>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70360"/>
      <w:r>
        <w:rPr>
          <w:color w:val="000000" w:themeColor="text1"/>
          <w:highlight w:val="none"/>
        </w:rPr>
      </w:r>
      <w:bookmarkEnd w:id="93"/>
      <w:r>
        <w:rPr>
          <w:color w:val="000000" w:themeColor="text1"/>
          <w:highlight w:val="none"/>
        </w:rPr>
      </w:r>
      <w:bookmarkStart w:id="94" w:name="_Hlt26954838"/>
      <w:r>
        <w:rPr>
          <w:color w:val="000000" w:themeColor="text1"/>
          <w:highlight w:val="none"/>
        </w:rPr>
      </w:r>
      <w:bookmarkEnd w:id="94"/>
      <w:r>
        <w:rPr>
          <w:color w:val="000000" w:themeColor="text1"/>
          <w:highlight w:val="none"/>
        </w:rPr>
      </w:r>
      <w:bookmarkStart w:id="95" w:name="_Hlt26668975"/>
      <w:r>
        <w:rPr>
          <w:color w:val="000000" w:themeColor="text1"/>
          <w:highlight w:val="none"/>
        </w:rPr>
      </w:r>
      <w:bookmarkEnd w:id="95"/>
      <w:r>
        <w:rPr>
          <w:color w:val="000000" w:themeColor="text1"/>
          <w:highlight w:val="none"/>
        </w:rPr>
      </w:r>
      <w:bookmarkStart w:id="96" w:name="_Toc14577357"/>
      <w:r>
        <w:rPr>
          <w:color w:val="000000" w:themeColor="text1"/>
          <w:highlight w:val="none"/>
        </w:rPr>
      </w:r>
      <w:bookmarkStart w:id="97" w:name="_Toc49090509"/>
      <w:r>
        <w:rPr>
          <w:color w:val="000000" w:themeColor="text1"/>
          <w:highlight w:val="none"/>
        </w:rPr>
      </w:r>
      <w:bookmarkStart w:id="98" w:name="_Toc513029219"/>
      <w:r>
        <w:rPr>
          <w:color w:val="000000" w:themeColor="text1"/>
          <w:highlight w:val="none"/>
        </w:rPr>
      </w:r>
      <w:bookmarkStart w:id="99" w:name="_Toc513029216"/>
      <w:r>
        <w:rPr>
          <w:color w:val="000000" w:themeColor="text1"/>
          <w:highlight w:val="none"/>
        </w:rPr>
      </w:r>
      <w:bookmarkStart w:id="100" w:name="_Toc49090507"/>
      <w:r>
        <w:rPr>
          <w:color w:val="000000" w:themeColor="text1"/>
          <w:highlight w:val="none"/>
        </w:rPr>
      </w:r>
      <w:bookmarkStart w:id="101" w:name="_Toc14577354"/>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rPr>
      </w:r>
      <w:bookmarkEnd w:id="100"/>
      <w:r>
        <w:rPr>
          <w:color w:val="000000" w:themeColor="text1"/>
        </w:rPr>
      </w:r>
      <w:bookmarkEnd w:id="101"/>
      <w:r>
        <w:rPr>
          <w:color w:val="000000" w:themeColor="text1"/>
        </w:rPr>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49090510"/>
      <w:r>
        <w:rPr>
          <w:color w:val="000000" w:themeColor="text1"/>
          <w:highlight w:val="none"/>
        </w:rPr>
      </w:r>
      <w:bookmarkStart w:id="105" w:name="_Toc14577359"/>
      <w:r>
        <w:rPr>
          <w:rFonts w:hint="eastAsia" w:ascii="宋体" w:hAnsi="宋体" w:eastAsia="宋体"/>
          <w:bCs w:val="0"/>
          <w:color w:val="000000" w:themeColor="text1"/>
          <w:highlight w:val="none"/>
        </w:rPr>
        <w:t xml:space="preserve">12.投标函、承诺书和开标一览表</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4"/>
      <w:r>
        <w:rPr>
          <w:color w:val="000000" w:themeColor="text1"/>
        </w:rPr>
      </w:r>
      <w:bookmarkEnd w:id="105"/>
      <w:r>
        <w:rPr>
          <w:color w:val="000000" w:themeColor="text1"/>
        </w:rPr>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954844"/>
      <w:r>
        <w:rPr>
          <w:color w:val="000000" w:themeColor="text1"/>
          <w:highlight w:val="none"/>
        </w:rPr>
      </w:r>
      <w:bookmarkEnd w:id="108"/>
      <w:r>
        <w:rPr>
          <w:color w:val="000000" w:themeColor="text1"/>
          <w:highlight w:val="none"/>
        </w:rPr>
      </w:r>
      <w:bookmarkStart w:id="109" w:name="_Hlt26670486"/>
      <w:r>
        <w:rPr>
          <w:color w:val="000000" w:themeColor="text1"/>
          <w:highlight w:val="none"/>
        </w:rPr>
      </w:r>
      <w:bookmarkEnd w:id="109"/>
      <w:r>
        <w:rPr>
          <w:color w:val="000000" w:themeColor="text1"/>
          <w:highlight w:val="none"/>
        </w:rPr>
      </w:r>
      <w:bookmarkStart w:id="110" w:name="_Hlt26670482"/>
      <w:r>
        <w:rPr>
          <w:color w:val="000000" w:themeColor="text1"/>
          <w:highlight w:val="none"/>
        </w:rPr>
      </w:r>
      <w:bookmarkEnd w:id="110"/>
      <w:r>
        <w:rPr>
          <w:color w:val="000000" w:themeColor="text1"/>
          <w:highlight w:val="none"/>
        </w:rPr>
      </w:r>
      <w:bookmarkStart w:id="111" w:name="_Hlt26954842"/>
      <w:r>
        <w:rPr>
          <w:color w:val="000000" w:themeColor="text1"/>
          <w:highlight w:val="none"/>
        </w:rPr>
      </w:r>
      <w:bookmarkEnd w:id="111"/>
      <w:r>
        <w:rPr>
          <w:color w:val="000000" w:themeColor="text1"/>
          <w:highlight w:val="none"/>
        </w:rPr>
      </w:r>
      <w:bookmarkStart w:id="112" w:name="_Hlt26670403"/>
      <w:r>
        <w:rPr>
          <w:color w:val="000000" w:themeColor="text1"/>
          <w:highlight w:val="none"/>
        </w:rPr>
      </w:r>
      <w:bookmarkEnd w:id="112"/>
      <w:r>
        <w:rPr>
          <w:color w:val="000000" w:themeColor="text1"/>
          <w:highlight w:val="none"/>
        </w:rPr>
      </w:r>
      <w:bookmarkStart w:id="113" w:name="_Hlt26954846"/>
      <w:r>
        <w:rPr>
          <w:color w:val="000000" w:themeColor="text1"/>
          <w:highlight w:val="none"/>
        </w:rPr>
      </w:r>
      <w:bookmarkEnd w:id="113"/>
      <w:r>
        <w:rPr>
          <w:color w:val="000000" w:themeColor="text1"/>
          <w:highlight w:val="none"/>
        </w:rPr>
      </w:r>
      <w:bookmarkStart w:id="114" w:name="_Hlt26954731"/>
      <w:r>
        <w:rPr>
          <w:color w:val="000000" w:themeColor="text1"/>
          <w:highlight w:val="none"/>
        </w:rPr>
      </w:r>
      <w:bookmarkEnd w:id="114"/>
      <w:r>
        <w:rPr>
          <w:color w:val="000000" w:themeColor="text1"/>
          <w:highlight w:val="none"/>
        </w:rPr>
      </w:r>
      <w:bookmarkStart w:id="115" w:name="_Hlt26670425"/>
      <w:r>
        <w:rPr>
          <w:color w:val="000000" w:themeColor="text1"/>
          <w:highlight w:val="none"/>
        </w:rPr>
      </w:r>
      <w:bookmarkEnd w:id="115"/>
      <w:r>
        <w:rPr>
          <w:color w:val="000000" w:themeColor="text1"/>
          <w:highlight w:val="none"/>
        </w:rPr>
      </w:r>
      <w:bookmarkStart w:id="116" w:name="_Hlt26668983"/>
      <w:r>
        <w:rPr>
          <w:color w:val="000000" w:themeColor="text1"/>
          <w:highlight w:val="none"/>
        </w:rPr>
      </w:r>
      <w:bookmarkEnd w:id="116"/>
      <w:r>
        <w:rPr>
          <w:color w:val="000000" w:themeColor="text1"/>
          <w:highlight w:val="none"/>
        </w:rPr>
      </w:r>
      <w:bookmarkStart w:id="117" w:name="_Hlt26954848"/>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color w:val="000000" w:themeColor="text1"/>
          <w:highlight w:val="none"/>
        </w:rP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670489"/>
      <w:r>
        <w:rPr>
          <w:color w:val="000000" w:themeColor="text1"/>
          <w:highlight w:val="none"/>
        </w:rPr>
      </w:r>
      <w:bookmarkEnd w:id="118"/>
      <w:r>
        <w:rPr>
          <w:color w:val="000000" w:themeColor="text1"/>
          <w:highlight w:val="none"/>
        </w:rPr>
      </w:r>
      <w:bookmarkStart w:id="119" w:name="_Hlt26954734"/>
      <w:r>
        <w:rPr>
          <w:color w:val="000000" w:themeColor="text1"/>
          <w:highlight w:val="none"/>
        </w:rPr>
      </w:r>
      <w:bookmarkEnd w:id="119"/>
      <w:r>
        <w:rPr>
          <w:color w:val="000000" w:themeColor="text1"/>
          <w:highlight w:val="none"/>
        </w:rPr>
      </w:r>
      <w:bookmarkStart w:id="120" w:name="_Hlt26954850"/>
      <w:r>
        <w:rPr>
          <w:color w:val="000000" w:themeColor="text1"/>
          <w:highlight w:val="none"/>
        </w:rPr>
      </w:r>
      <w:bookmarkEnd w:id="120"/>
      <w:r>
        <w:rPr>
          <w:color w:val="000000" w:themeColor="text1"/>
          <w:highlight w:val="none"/>
        </w:rPr>
      </w:r>
      <w:bookmarkStart w:id="121" w:name="_Toc49090511"/>
      <w:r>
        <w:rPr>
          <w:color w:val="000000" w:themeColor="text1"/>
          <w:highlight w:val="none"/>
        </w:rPr>
      </w:r>
      <w:bookmarkStart w:id="122" w:name="_Toc14577360"/>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color w:val="000000" w:themeColor="text1"/>
          <w:highlight w:val="none"/>
        </w:rPr>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color w:val="000000" w:themeColor="text1"/>
          <w:highlight w:val="none"/>
        </w:rPr>
      </w:r>
    </w:p>
    <w:p>
      <w:pPr>
        <w:pStyle w:val="853"/>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739"/>
      <w:r>
        <w:rPr>
          <w:color w:val="000000" w:themeColor="text1"/>
          <w:highlight w:val="none"/>
        </w:rPr>
      </w:r>
      <w:bookmarkEnd w:id="123"/>
      <w:r>
        <w:rPr>
          <w:color w:val="000000" w:themeColor="text1"/>
          <w:highlight w:val="none"/>
        </w:rPr>
      </w:r>
      <w:bookmarkStart w:id="124" w:name="_Hlt26954852"/>
      <w:r>
        <w:rPr>
          <w:color w:val="000000" w:themeColor="text1"/>
          <w:highlight w:val="none"/>
        </w:rPr>
      </w:r>
      <w:bookmarkEnd w:id="124"/>
      <w:r>
        <w:rPr>
          <w:color w:val="000000" w:themeColor="text1"/>
          <w:highlight w:val="none"/>
        </w:rPr>
      </w:r>
      <w:bookmarkStart w:id="125" w:name="_Toc513029224"/>
      <w:r>
        <w:rPr>
          <w:color w:val="000000" w:themeColor="text1"/>
          <w:highlight w:val="none"/>
        </w:rPr>
      </w:r>
      <w:bookmarkStart w:id="126" w:name="_Toc16938540"/>
      <w:r>
        <w:rPr>
          <w:color w:val="000000" w:themeColor="text1"/>
          <w:highlight w:val="none"/>
        </w:rPr>
      </w:r>
      <w:bookmarkStart w:id="127" w:name="_Toc120614217"/>
      <w:r>
        <w:rPr>
          <w:color w:val="000000" w:themeColor="text1"/>
          <w:highlight w:val="none"/>
        </w:rPr>
      </w:r>
      <w:bookmarkStart w:id="128" w:name="_Toc20823296"/>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462564084"/>
      <w:r>
        <w:rPr>
          <w:color w:val="000000" w:themeColor="text1"/>
          <w:highlight w:val="none"/>
        </w:rPr>
      </w:r>
      <w:bookmarkStart w:id="130" w:name="_Toc20823297"/>
      <w:r>
        <w:rPr>
          <w:color w:val="000000" w:themeColor="text1"/>
          <w:highlight w:val="none"/>
        </w:rPr>
      </w:r>
      <w:bookmarkStart w:id="131" w:name="_Toc513029225"/>
      <w:r>
        <w:rPr>
          <w:color w:val="000000" w:themeColor="text1"/>
          <w:highlight w:val="none"/>
        </w:rPr>
      </w:r>
      <w:bookmarkStart w:id="132" w:name="_Toc16938541"/>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color w:val="000000" w:themeColor="text1"/>
          <w:highlight w:val="none"/>
        </w:rPr>
      </w:r>
    </w:p>
    <w:p>
      <w:pPr>
        <w:pStyle w:val="96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16938542"/>
      <w:r>
        <w:rPr>
          <w:color w:val="000000" w:themeColor="text1"/>
          <w:highlight w:val="none"/>
        </w:rPr>
      </w:r>
      <w:bookmarkStart w:id="134" w:name="_Toc20823298"/>
      <w:r>
        <w:rPr>
          <w:color w:val="000000" w:themeColor="text1"/>
          <w:highlight w:val="none"/>
        </w:rPr>
      </w:r>
      <w:bookmarkStart w:id="135" w:name="_Toc513029226"/>
      <w:r>
        <w:rPr>
          <w:color w:val="000000" w:themeColor="text1"/>
          <w:highlight w:val="none"/>
        </w:rPr>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20823299"/>
      <w:r>
        <w:rPr>
          <w:color w:val="000000" w:themeColor="text1"/>
          <w:highlight w:val="none"/>
        </w:rPr>
      </w:r>
      <w:bookmarkStart w:id="137" w:name="_Toc16938543"/>
      <w:r>
        <w:rPr>
          <w:color w:val="000000" w:themeColor="text1"/>
          <w:highlight w:val="none"/>
        </w:rPr>
      </w:r>
      <w:bookmarkStart w:id="138" w:name="_Toc513029227"/>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20823300"/>
      <w:r>
        <w:rPr>
          <w:color w:val="000000" w:themeColor="text1"/>
          <w:highlight w:val="none"/>
        </w:rPr>
      </w:r>
      <w:bookmarkStart w:id="140" w:name="_Toc16938544"/>
      <w:r>
        <w:rPr>
          <w:color w:val="000000" w:themeColor="text1"/>
          <w:highlight w:val="none"/>
        </w:rPr>
      </w:r>
      <w:bookmarkStart w:id="141" w:name="_Toc513029228"/>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p>
    <w:p>
      <w:pPr>
        <w:pStyle w:val="853"/>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16938545"/>
      <w:r>
        <w:rPr>
          <w:color w:val="000000" w:themeColor="text1"/>
          <w:highlight w:val="none"/>
        </w:rPr>
      </w:r>
      <w:bookmarkStart w:id="143" w:name="_Toc120614218"/>
      <w:r>
        <w:rPr>
          <w:color w:val="000000" w:themeColor="text1"/>
          <w:highlight w:val="none"/>
        </w:rPr>
      </w:r>
      <w:bookmarkStart w:id="144" w:name="_Toc20823301"/>
      <w:r>
        <w:rPr>
          <w:color w:val="000000" w:themeColor="text1"/>
          <w:highlight w:val="none"/>
        </w:rPr>
      </w:r>
      <w:bookmarkStart w:id="145" w:name="_Toc513029229"/>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16938546"/>
      <w:r>
        <w:rPr>
          <w:color w:val="000000" w:themeColor="text1"/>
          <w:highlight w:val="none"/>
        </w:rPr>
      </w:r>
      <w:bookmarkStart w:id="147" w:name="_Toc20823302"/>
      <w:r>
        <w:rPr>
          <w:color w:val="000000" w:themeColor="text1"/>
          <w:highlight w:val="none"/>
        </w:rPr>
      </w:r>
      <w:bookmarkStart w:id="148" w:name="_Toc513029230"/>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rPr>
          <w:color w:val="000000" w:themeColor="text1"/>
          <w:highlight w:val="none"/>
        </w:rP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16938547"/>
      <w:r>
        <w:rPr>
          <w:color w:val="000000" w:themeColor="text1"/>
          <w:highlight w:val="none"/>
        </w:rPr>
      </w:r>
      <w:bookmarkStart w:id="150" w:name="_Toc20823303"/>
      <w:r>
        <w:rPr>
          <w:color w:val="000000" w:themeColor="text1"/>
          <w:highlight w:val="none"/>
        </w:rPr>
      </w:r>
      <w:bookmarkStart w:id="151" w:name="_Toc513029231"/>
      <w:r>
        <w:rPr>
          <w:rFonts w:hint="eastAsia" w:ascii="宋体" w:hAnsi="宋体" w:eastAsia="宋体"/>
          <w:bCs w:val="0"/>
          <w:color w:val="000000" w:themeColor="text1"/>
          <w:highlight w:val="none"/>
        </w:rPr>
        <w:t xml:space="preserve">22.评标委员会</w:t>
      </w:r>
      <w:r>
        <w:rPr>
          <w:color w:val="000000" w:themeColor="text1"/>
          <w:highlight w:val="none"/>
        </w:rP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49"/>
      <w:r>
        <w:rPr>
          <w:color w:val="000000" w:themeColor="text1"/>
        </w:rPr>
      </w:r>
      <w:bookmarkEnd w:id="150"/>
      <w:r>
        <w:rPr>
          <w:color w:val="000000" w:themeColor="text1"/>
        </w:rPr>
      </w:r>
      <w:bookmarkEnd w:id="151"/>
      <w:r>
        <w:rPr>
          <w:color w:val="000000" w:themeColor="text1"/>
        </w:rPr>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16938548"/>
      <w:r>
        <w:rPr>
          <w:color w:val="000000" w:themeColor="text1"/>
          <w:highlight w:val="none"/>
        </w:rPr>
      </w:r>
      <w:bookmarkStart w:id="153" w:name="_Toc513029232"/>
      <w:r>
        <w:rPr>
          <w:color w:val="000000" w:themeColor="text1"/>
          <w:highlight w:val="none"/>
        </w:rPr>
      </w:r>
      <w:bookmarkStart w:id="154" w:name="_Toc20823304"/>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20823305"/>
      <w:r>
        <w:rPr>
          <w:color w:val="000000" w:themeColor="text1"/>
          <w:highlight w:val="none"/>
        </w:rPr>
      </w:r>
      <w:bookmarkStart w:id="156" w:name="_Toc16938549"/>
      <w:r>
        <w:rPr>
          <w:color w:val="000000" w:themeColor="text1"/>
          <w:highlight w:val="none"/>
        </w:rPr>
      </w:r>
      <w:bookmarkStart w:id="157" w:name="_Toc513029233"/>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color w:val="000000" w:themeColor="text1"/>
          <w:highlight w:val="none"/>
        </w:rP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color w:val="000000" w:themeColor="text1"/>
          <w:highlight w:val="none"/>
        </w:rP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color w:val="000000" w:themeColor="text1"/>
          <w:highlight w:val="none"/>
        </w:rP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color w:val="000000" w:themeColor="text1"/>
          <w:highlight w:val="none"/>
        </w:rP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color w:val="000000" w:themeColor="text1"/>
          <w:highlight w:val="none"/>
        </w:rPr>
      </w:r>
    </w:p>
    <w:p>
      <w:pPr>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16938550"/>
      <w:r>
        <w:rPr>
          <w:color w:val="000000" w:themeColor="text1"/>
          <w:highlight w:val="none"/>
        </w:rPr>
      </w:r>
      <w:bookmarkStart w:id="159" w:name="_Toc513029234"/>
      <w:r>
        <w:rPr>
          <w:color w:val="000000" w:themeColor="text1"/>
          <w:highlight w:val="none"/>
        </w:rPr>
      </w:r>
      <w:bookmarkStart w:id="160" w:name="_Toc20823306"/>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color w:val="000000" w:themeColor="text1"/>
          <w:highlight w:val="none"/>
        </w:rPr>
      </w:r>
    </w:p>
    <w:p>
      <w:pPr>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513029235"/>
      <w:r>
        <w:rPr>
          <w:color w:val="000000" w:themeColor="text1"/>
          <w:highlight w:val="none"/>
        </w:rPr>
      </w:r>
      <w:bookmarkStart w:id="162" w:name="_Toc16938551"/>
      <w:r>
        <w:rPr>
          <w:color w:val="000000" w:themeColor="text1"/>
          <w:highlight w:val="none"/>
        </w:rPr>
      </w:r>
      <w:bookmarkStart w:id="163" w:name="_Toc20823307"/>
      <w:r>
        <w:rPr>
          <w:rFonts w:hint="eastAsia" w:ascii="宋体" w:hAnsi="宋体"/>
          <w:bCs/>
          <w:color w:val="000000" w:themeColor="text1"/>
          <w:sz w:val="24"/>
          <w:highlight w:val="none"/>
        </w:rPr>
        <w:t xml:space="preserve">26.1无效投标条款</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rPr>
          <w:color w:val="000000" w:themeColor="text1"/>
          <w:highlight w:val="none"/>
        </w:rP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color w:val="000000" w:themeColor="text1"/>
          <w:highlight w:val="none"/>
        </w:rP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color w:val="000000" w:themeColor="text1"/>
          <w:highlight w:val="none"/>
        </w:rP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color w:val="000000" w:themeColor="text1"/>
          <w:highlight w:val="none"/>
        </w:rP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color w:val="000000" w:themeColor="text1"/>
          <w:highlight w:val="none"/>
        </w:rP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color w:val="000000" w:themeColor="text1"/>
          <w:highlight w:val="none"/>
        </w:rP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color w:val="000000" w:themeColor="text1"/>
          <w:highlight w:val="none"/>
        </w:rP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p>
    <w:p>
      <w:pPr>
        <w:pStyle w:val="853"/>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color w:val="000000" w:themeColor="text1"/>
          <w:highlight w:val="none"/>
        </w:rPr>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16938554"/>
      <w:r>
        <w:rPr>
          <w:color w:val="000000" w:themeColor="text1"/>
          <w:highlight w:val="none"/>
        </w:rPr>
      </w:r>
      <w:bookmarkStart w:id="167" w:name="_Toc20823310"/>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000000" w:themeColor="text1"/>
          <w:highlight w:val="none"/>
        </w:rP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color w:val="000000" w:themeColor="text1"/>
          <w:highlight w:val="none"/>
        </w:rP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color w:val="000000" w:themeColor="text1"/>
          <w:highlight w:val="none"/>
        </w:rPr>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color w:val="000000" w:themeColor="text1"/>
          <w:highlight w:val="none"/>
        </w:rP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color w:val="000000" w:themeColor="text1"/>
          <w:highlight w:val="none"/>
        </w:rP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p>
    <w:p>
      <w:pPr>
        <w:pStyle w:val="853"/>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20823308"/>
      <w:r>
        <w:rPr>
          <w:color w:val="000000" w:themeColor="text1"/>
          <w:highlight w:val="none"/>
        </w:rPr>
      </w:r>
      <w:bookmarkStart w:id="171" w:name="_Toc16938552"/>
      <w:r>
        <w:rPr>
          <w:color w:val="000000" w:themeColor="text1"/>
          <w:highlight w:val="none"/>
        </w:rPr>
      </w:r>
      <w:bookmarkStart w:id="172" w:name="_Toc513029236"/>
      <w:r>
        <w:rPr>
          <w:rFonts w:hint="eastAsia"/>
          <w:color w:val="000000" w:themeColor="text1"/>
          <w:sz w:val="30"/>
          <w:szCs w:val="30"/>
          <w:highlight w:val="none"/>
        </w:rPr>
        <w:t xml:space="preserve">七、授予合同</w:t>
      </w:r>
      <w:bookmarkEnd w:id="169"/>
      <w:r>
        <w:rPr>
          <w:color w:val="000000" w:themeColor="text1"/>
          <w:highlight w:val="none"/>
        </w:rPr>
      </w:r>
      <w:bookmarkEnd w:id="170"/>
      <w:r>
        <w:rPr>
          <w:color w:val="000000" w:themeColor="text1"/>
        </w:rPr>
      </w:r>
      <w:bookmarkEnd w:id="171"/>
      <w:r>
        <w:rPr>
          <w:color w:val="000000" w:themeColor="text1"/>
        </w:rPr>
      </w:r>
      <w:bookmarkEnd w:id="172"/>
      <w:r>
        <w:rPr>
          <w:color w:val="000000" w:themeColor="text1"/>
        </w:rPr>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73" w:name="_Toc20823309"/>
      <w:r>
        <w:rPr>
          <w:color w:val="000000" w:themeColor="text1"/>
          <w:highlight w:val="none"/>
        </w:rPr>
      </w:r>
      <w:bookmarkStart w:id="174" w:name="_Toc16938553"/>
      <w:r>
        <w:rPr>
          <w:color w:val="000000" w:themeColor="text1"/>
          <w:highlight w:val="none"/>
        </w:rPr>
      </w:r>
      <w:bookmarkStart w:id="175" w:name="_Toc513029237"/>
      <w:r>
        <w:rPr>
          <w:rFonts w:hint="eastAsia" w:ascii="宋体" w:hAnsi="宋体" w:eastAsia="宋体"/>
          <w:bCs w:val="0"/>
          <w:color w:val="000000" w:themeColor="text1"/>
          <w:highlight w:val="none"/>
        </w:rPr>
        <w:t xml:space="preserve">30.签订合同</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000000" w:themeColor="text1"/>
          <w:highlight w:val="none"/>
        </w:rPr>
      </w:r>
    </w:p>
    <w:p>
      <w:pPr>
        <w:pStyle w:val="854"/>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rPr>
          <w:color w:val="000000" w:themeColor="text1"/>
        </w:rPr>
      </w:r>
      <w:bookmarkEnd w:id="174"/>
      <w:r>
        <w:rPr>
          <w:color w:val="000000" w:themeColor="text1"/>
        </w:rPr>
      </w:r>
      <w:bookmarkEnd w:id="175"/>
      <w:r>
        <w:rPr>
          <w:color w:val="000000" w:themeColor="text1"/>
        </w:rPr>
      </w:r>
      <w:r>
        <w:rPr>
          <w:color w:val="000000" w:themeColor="text1"/>
          <w:highlight w:val="none"/>
        </w:rP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Start w:id="176" w:name="_Toc513029242"/>
      <w:r>
        <w:rPr>
          <w:color w:val="000000" w:themeColor="text1"/>
          <w:highlight w:val="none"/>
        </w:rPr>
      </w:r>
      <w:bookmarkStart w:id="177" w:name="_Toc120614221"/>
      <w:r>
        <w:rPr>
          <w:color w:val="000000" w:themeColor="text1"/>
          <w:highlight w:val="none"/>
        </w:rPr>
      </w:r>
      <w:bookmarkStart w:id="178" w:name="_Toc20823314"/>
      <w:r>
        <w:rPr>
          <w:color w:val="000000" w:themeColor="text1"/>
          <w:highlight w:val="none"/>
        </w:rPr>
      </w:r>
      <w:bookmarkStart w:id="179" w:name="_Toc479757207"/>
      <w:r>
        <w:rPr>
          <w:color w:val="000000" w:themeColor="text1"/>
          <w:highlight w:val="none"/>
        </w:rPr>
      </w:r>
      <w:bookmarkStart w:id="180" w:name="_Toc16938558"/>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color w:val="000000" w:themeColor="text1"/>
          <w:highlight w:val="none"/>
        </w:rPr>
      </w:r>
    </w:p>
    <w:p>
      <w:pPr>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20823315"/>
      <w:r>
        <w:rPr>
          <w:color w:val="000000" w:themeColor="text1"/>
          <w:highlight w:val="none"/>
        </w:rPr>
      </w:r>
      <w:bookmarkStart w:id="182" w:name="_Toc513029243"/>
      <w:r>
        <w:rPr>
          <w:color w:val="000000" w:themeColor="text1"/>
          <w:highlight w:val="none"/>
        </w:rPr>
      </w:r>
      <w:bookmarkStart w:id="183" w:name="_Toc16938559"/>
      <w:r>
        <w:rPr>
          <w:rFonts w:hint="eastAsia" w:ascii="宋体" w:hAnsi="宋体"/>
          <w:bCs/>
          <w:color w:val="000000" w:themeColor="text1"/>
          <w:sz w:val="24"/>
          <w:highlight w:val="none"/>
        </w:rPr>
        <w:t xml:space="preserve">以下为中标后签订本项目合同的通用条款，中标人不得提出实质性的修改。</w:t>
      </w:r>
      <w:r>
        <w:rPr>
          <w:color w:val="000000" w:themeColor="text1"/>
          <w:highlight w:val="none"/>
        </w:rPr>
      </w:r>
    </w:p>
    <w:p>
      <w:pPr>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color w:val="000000" w:themeColor="text1"/>
          <w:highlight w:val="none"/>
        </w:rPr>
      </w:r>
    </w:p>
    <w:p>
      <w:pPr>
        <w:pStyle w:val="887"/>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color w:val="000000" w:themeColor="text1"/>
          <w:highlight w:val="none"/>
        </w:rPr>
      </w:r>
    </w:p>
    <w:p>
      <w:pPr>
        <w:pStyle w:val="887"/>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color w:val="000000" w:themeColor="text1"/>
          <w:highlight w:val="none"/>
        </w:rPr>
      </w:r>
    </w:p>
    <w:p>
      <w:pPr>
        <w:pStyle w:val="887"/>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color w:val="000000" w:themeColor="text1"/>
          <w:highlight w:val="none"/>
        </w:rPr>
      </w:r>
    </w:p>
    <w:p>
      <w:pPr>
        <w:pStyle w:val="887"/>
        <w:ind w:firstLine="480"/>
        <w:spacing w:line="400" w:lineRule="exact"/>
        <w:rPr>
          <w:rFonts w:hAnsi="宋体"/>
          <w:b/>
          <w:color w:val="000000" w:themeColor="text1"/>
          <w:sz w:val="24"/>
          <w:szCs w:val="24"/>
          <w:highlight w:val="none"/>
        </w:rPr>
      </w:pP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rPr>
        <w:t xml:space="preserve">标的质量：</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6履行方式：</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2.1 本合同金额为（大写）： 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3.1乙方应按招标文件规定的时间向甲方提供服务</w:t>
      </w:r>
      <w:r>
        <w:rPr>
          <w:rFonts w:hint="eastAsia" w:hAnsi="宋体"/>
          <w:color w:val="000000" w:themeColor="text1"/>
          <w:sz w:val="24"/>
          <w:szCs w:val="24"/>
          <w:highlight w:val="none"/>
        </w:rPr>
        <w:t xml:space="preserve">（包含与服务相关的货物）</w:t>
      </w:r>
      <w:r>
        <w:rPr>
          <w:rFonts w:hAnsi="宋体"/>
          <w:color w:val="000000" w:themeColor="text1"/>
          <w:sz w:val="24"/>
          <w:szCs w:val="24"/>
          <w:highlight w:val="none"/>
        </w:rPr>
        <w:t xml:space="preserve">的有关技术资料。</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4.1乙</w:t>
      </w:r>
      <w:r>
        <w:rPr>
          <w:rFonts w:hint="eastAsia" w:hAnsi="宋体"/>
          <w:color w:val="000000" w:themeColor="text1"/>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highlight w:val="none"/>
        </w:rPr>
      </w:r>
    </w:p>
    <w:p>
      <w:pPr>
        <w:pStyle w:val="887"/>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color w:val="000000" w:themeColor="text1"/>
          <w:highlight w:val="none"/>
        </w:rPr>
      </w:r>
    </w:p>
    <w:p>
      <w:pPr>
        <w:pStyle w:val="887"/>
        <w:ind w:firstLine="482"/>
        <w:spacing w:line="400" w:lineRule="exact"/>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color w:val="000000" w:themeColor="text1"/>
          <w:highlight w:val="none"/>
        </w:rPr>
      </w:r>
    </w:p>
    <w:p>
      <w:pPr>
        <w:pStyle w:val="887"/>
        <w:ind w:firstLine="480"/>
        <w:spacing w:line="400" w:lineRule="exact"/>
        <w:rPr>
          <w:rFonts w:hAnsi="宋体"/>
          <w:color w:val="000000" w:themeColor="text1"/>
          <w:sz w:val="24"/>
          <w:szCs w:val="24"/>
          <w:highlight w:val="none"/>
          <w:u w:val="single"/>
        </w:rPr>
      </w:pPr>
      <w:r>
        <w:rPr>
          <w:rFonts w:hAnsi="宋体"/>
          <w:color w:val="000000" w:themeColor="text1"/>
          <w:sz w:val="24"/>
          <w:szCs w:val="24"/>
          <w:highlight w:val="none"/>
        </w:rPr>
        <w:t xml:space="preserve">5.1 乙方保证所交付的</w:t>
      </w:r>
      <w:r>
        <w:rPr>
          <w:rFonts w:hint="eastAsia" w:hAnsi="宋体"/>
          <w:color w:val="000000" w:themeColor="text1"/>
          <w:sz w:val="24"/>
          <w:szCs w:val="24"/>
          <w:highlight w:val="none"/>
        </w:rPr>
        <w:t xml:space="preserve">服务（包含与服务相关的货物）</w:t>
      </w:r>
      <w:r>
        <w:rPr>
          <w:rFonts w:hAnsi="宋体"/>
          <w:color w:val="000000" w:themeColor="text1"/>
          <w:sz w:val="24"/>
          <w:szCs w:val="24"/>
          <w:highlight w:val="none"/>
        </w:rPr>
        <w:t xml:space="preserve">的所有权完全属于乙方且无任何抵押、查封等产权瑕疵。</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六、履约保证金</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6.1 乙方交纳人民币__元作为本合同的履约保证金。</w:t>
      </w:r>
      <w:r>
        <w:rPr>
          <w:rFonts w:hint="eastAsia" w:hAnsi="宋体"/>
          <w:color w:val="000000" w:themeColor="text1"/>
          <w:sz w:val="24"/>
          <w:szCs w:val="24"/>
          <w:highlight w:val="none"/>
        </w:rPr>
        <w:t xml:space="preserve">（不得超过合同金额的10%）</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6.2合同履行结束后，甲方应及时退还交纳的履约保证金。</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6.2.1履约保证金退还方式：</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6.2.2履约保证金退还时间：</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6.2.3履约保证金退还条件：</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6.2.4履约保证金不予退还的情形：</w:t>
      </w:r>
      <w:r>
        <w:rPr>
          <w:color w:val="000000" w:themeColor="text1"/>
          <w:highlight w:val="none"/>
        </w:rP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color w:val="000000" w:themeColor="text1"/>
          <w:highlight w:val="none"/>
        </w:rP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color w:val="000000" w:themeColor="text1"/>
          <w:highlight w:val="none"/>
        </w:rP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color w:val="000000" w:themeColor="text1"/>
          <w:highlight w:val="none"/>
        </w:rPr>
      </w:r>
    </w:p>
    <w:p>
      <w:pPr>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color w:val="000000" w:themeColor="text1"/>
          <w:highlight w:val="none"/>
        </w:rPr>
      </w:r>
    </w:p>
    <w:p>
      <w:pPr>
        <w:pStyle w:val="887"/>
        <w:ind w:firstLine="480"/>
        <w:spacing w:line="400" w:lineRule="exact"/>
        <w:rPr>
          <w:rFonts w:hint="eastAsia" w:hAnsi="宋体"/>
          <w:bCs/>
          <w:color w:val="000000" w:themeColor="text1"/>
          <w:sz w:val="24"/>
          <w:szCs w:val="24"/>
          <w:highlight w:val="none"/>
        </w:rPr>
      </w:pPr>
      <w:r>
        <w:rPr>
          <w:rFonts w:hint="eastAsia" w:hAnsi="宋体"/>
          <w:bCs/>
          <w:color w:val="000000" w:themeColor="text1"/>
          <w:sz w:val="24"/>
          <w:szCs w:val="24"/>
          <w:highlight w:val="none"/>
        </w:rPr>
        <w:t xml:space="preserve">8</w:t>
      </w:r>
      <w:r>
        <w:rPr>
          <w:rFonts w:hAnsi="宋体"/>
          <w:bCs/>
          <w:color w:val="000000" w:themeColor="text1"/>
          <w:sz w:val="24"/>
          <w:szCs w:val="24"/>
          <w:highlight w:val="none"/>
        </w:rPr>
        <w:t xml:space="preserve">.1</w:t>
      </w:r>
      <w:r>
        <w:rPr>
          <w:rFonts w:hint="eastAsia" w:hAnsi="宋体"/>
          <w:bCs/>
          <w:color w:val="000000" w:themeColor="text1"/>
          <w:sz w:val="24"/>
          <w:szCs w:val="24"/>
          <w:highlight w:val="none"/>
        </w:rPr>
        <w:t xml:space="preserve">合同款项的支付方式及进度安排</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8.1.1</w:t>
      </w:r>
      <w:r>
        <w:rPr>
          <w:rFonts w:hint="eastAsia" w:hAnsi="宋体" w:cs="Courier New"/>
          <w:bCs/>
          <w:color w:val="000000" w:themeColor="text1"/>
          <w:sz w:val="24"/>
          <w:szCs w:val="24"/>
          <w:highlight w:val="none"/>
        </w:rPr>
        <w:t xml:space="preserve">预付款支付时间：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，预付款支付比例：</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8.1.2</w:t>
      </w:r>
      <w:r>
        <w:rPr>
          <w:rFonts w:hint="eastAsia" w:hAnsi="宋体" w:cs="Courier New"/>
          <w:bCs/>
          <w:color w:val="000000" w:themeColor="text1"/>
          <w:sz w:val="24"/>
          <w:szCs w:val="24"/>
          <w:highlight w:val="none"/>
        </w:rPr>
        <w:t xml:space="preserve">尾款支付时间：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color w:val="000000" w:themeColor="text1"/>
          <w:highlight w:val="none"/>
        </w:rP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color w:val="000000" w:themeColor="text1"/>
          <w:highlight w:val="none"/>
        </w:rPr>
      </w:r>
    </w:p>
    <w:p>
      <w:pPr>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color w:val="000000" w:themeColor="text1"/>
          <w:highlight w:val="none"/>
        </w:rPr>
      </w:r>
    </w:p>
    <w:p>
      <w:pPr>
        <w:spacing w:line="400" w:lineRule="exact"/>
        <w:rPr>
          <w:rFonts w:hint="eastAsia" w:hAnsi="宋体"/>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color w:val="000000" w:themeColor="text1"/>
          <w:highlight w:val="none"/>
        </w:rP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color w:val="000000" w:themeColor="text1"/>
          <w:highlight w:val="none"/>
        </w:rPr>
      </w:r>
    </w:p>
    <w:p>
      <w:pPr>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10.3 对于实际使用人和甲方分离的项目，甲方邀请实际使用人参与验收。</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10.4 如有必要，甲方邀请参加本项目的其他供应商或第三方专业机构及专家参与验收，相关意见将作为验收书的参考资料。</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10.5 甲方成立验收小组，按照采购合同的约定对乙方的履约情况进行验收。验收时</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甲方按照采购合同的约定对每一项技术、服务、安全标准的履约情况进行确认。验收结束后</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验收小组出具验收书</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列明各项标准的验收情况及项目总体评价</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由验收双方共同签署。验收结果与采购合同约定的资金支付及履约保证金返还条件挂钩。履约验收的各项资料存档备查。</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10.6 验收合格的项目</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甲方将及时报告本级财政部门。</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.1 甲方无正当理由</w:t>
      </w:r>
      <w:r>
        <w:rPr>
          <w:rFonts w:hint="eastAsia" w:hAnsi="宋体"/>
          <w:color w:val="000000" w:themeColor="text1"/>
          <w:sz w:val="24"/>
          <w:szCs w:val="24"/>
          <w:highlight w:val="none"/>
        </w:rPr>
        <w:t xml:space="preserve">拒绝接受乙方提供服务</w:t>
      </w:r>
      <w:r>
        <w:rPr>
          <w:rFonts w:hAnsi="宋体"/>
          <w:color w:val="000000" w:themeColor="text1"/>
          <w:sz w:val="24"/>
          <w:szCs w:val="24"/>
          <w:highlight w:val="none"/>
        </w:rPr>
        <w:t xml:space="preserve">的，甲方向乙方偿付</w:t>
      </w:r>
      <w:r>
        <w:rPr>
          <w:rFonts w:hint="eastAsia" w:hAnsi="宋体"/>
          <w:color w:val="000000" w:themeColor="text1"/>
          <w:sz w:val="24"/>
          <w:szCs w:val="24"/>
          <w:highlight w:val="none"/>
        </w:rPr>
        <w:t xml:space="preserve">拒绝接受服务合同价款</w:t>
      </w:r>
      <w:r>
        <w:rPr>
          <w:rFonts w:hAnsi="宋体"/>
          <w:color w:val="000000" w:themeColor="text1"/>
          <w:sz w:val="24"/>
          <w:szCs w:val="24"/>
          <w:highlight w:val="none"/>
        </w:rPr>
        <w:t xml:space="preserve">总值</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.2 甲方无故逾期验收和办理</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支付手续的</w:t>
      </w:r>
      <w:r>
        <w:rPr>
          <w:rFonts w:hint="eastAsia" w:hAnsi="宋体"/>
          <w:color w:val="000000" w:themeColor="text1"/>
          <w:sz w:val="24"/>
          <w:szCs w:val="24"/>
          <w:highlight w:val="none"/>
          <w:lang w:eastAsia="zh-CN"/>
        </w:rPr>
        <w:t xml:space="preserve">，</w:t>
      </w:r>
      <w:r>
        <w:rPr>
          <w:rFonts w:hAnsi="宋体"/>
          <w:color w:val="000000" w:themeColor="text1"/>
          <w:sz w:val="24"/>
          <w:szCs w:val="24"/>
          <w:highlight w:val="none"/>
        </w:rPr>
        <w:t xml:space="preserve">甲方应按逾期付款总额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每日向乙方支付违约金。</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.3 乙方逾期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的，乙方应按逾期</w:t>
      </w:r>
      <w:r>
        <w:rPr>
          <w:rFonts w:hint="eastAsia" w:hAnsi="宋体"/>
          <w:color w:val="000000" w:themeColor="text1"/>
          <w:sz w:val="24"/>
          <w:szCs w:val="24"/>
          <w:highlight w:val="none"/>
        </w:rPr>
        <w:t xml:space="preserve">提供服务合同</w:t>
      </w:r>
      <w:r>
        <w:rPr>
          <w:rFonts w:hAnsi="宋体"/>
          <w:color w:val="000000" w:themeColor="text1"/>
          <w:sz w:val="24"/>
          <w:szCs w:val="24"/>
          <w:highlight w:val="none"/>
        </w:rPr>
        <w:t xml:space="preserve">总额每日千分之六向甲方支付违约金，由甲方从待付</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中扣除。逾期超过约定日期10个工作日不能</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的，甲方可解除本合同。乙方因逾期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或因其他违约行为导致甲方解除合同的，乙方应向甲方支付合同</w:t>
      </w:r>
      <w:r>
        <w:rPr>
          <w:rFonts w:hint="eastAsia" w:hAnsi="宋体"/>
          <w:color w:val="000000" w:themeColor="text1"/>
          <w:sz w:val="24"/>
          <w:szCs w:val="24"/>
          <w:highlight w:val="none"/>
        </w:rPr>
        <w:t xml:space="preserve">价款总额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的违约金，如造成甲方损失超过违约金的，超出部分由乙方继续承担赔偿责任。 </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.4 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二</w:t>
      </w:r>
      <w:r>
        <w:rPr>
          <w:rFonts w:hAnsi="宋体"/>
          <w:b/>
          <w:color w:val="000000" w:themeColor="text1"/>
          <w:sz w:val="24"/>
          <w:szCs w:val="24"/>
          <w:highlight w:val="none"/>
        </w:rPr>
        <w:t xml:space="preserve">、不可抗力事件处理</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期相同。</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.2 不可抗力事件发生后，应立即通知对方，并寄送有关权威机构出具的证明。</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.3 不可抗力事件延续120天以上，双方应通过友好协商，确定是否继续履行合同。</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三</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color w:val="000000" w:themeColor="text1"/>
          <w:highlight w:val="none"/>
        </w:rPr>
      </w:r>
    </w:p>
    <w:p>
      <w:pPr>
        <w:pStyle w:val="887"/>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13.1双方在签订、履行合同中所发生的一切争议，应通过友好协商解决。如协商不成，由甲方住所地人民法院管辖。</w:t>
      </w:r>
      <w:r>
        <w:rPr>
          <w:color w:val="000000" w:themeColor="text1"/>
          <w:highlight w:val="none"/>
        </w:rPr>
      </w:r>
    </w:p>
    <w:p>
      <w:pPr>
        <w:pStyle w:val="887"/>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四</w:t>
      </w:r>
      <w:r>
        <w:rPr>
          <w:rFonts w:hAnsi="宋体"/>
          <w:b/>
          <w:color w:val="000000" w:themeColor="text1"/>
          <w:sz w:val="24"/>
          <w:szCs w:val="24"/>
          <w:highlight w:val="none"/>
        </w:rPr>
        <w:t xml:space="preserve">、合同生效及其他</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《中华人民共和国民法典》《中华人民共和国政府采购法》等</w:t>
      </w:r>
      <w:r>
        <w:rPr>
          <w:rFonts w:hAnsi="宋体"/>
          <w:color w:val="000000" w:themeColor="text1"/>
          <w:sz w:val="24"/>
          <w:szCs w:val="24"/>
          <w:highlight w:val="none"/>
        </w:rPr>
        <w:t xml:space="preserve">有关条文执行。</w:t>
      </w:r>
      <w:r>
        <w:rPr>
          <w:color w:val="000000" w:themeColor="text1"/>
          <w:highlight w:val="none"/>
        </w:rPr>
      </w:r>
    </w:p>
    <w:p>
      <w:pPr>
        <w:pStyle w:val="887"/>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本合同正本一式</w:t>
      </w:r>
      <w:r>
        <w:rPr>
          <w:rFonts w:hint="eastAsia" w:hAnsi="宋体"/>
          <w:color w:val="000000" w:themeColor="text1"/>
          <w:sz w:val="24"/>
          <w:szCs w:val="24"/>
          <w:highlight w:val="none"/>
        </w:rPr>
        <w:t xml:space="preserve">两</w:t>
      </w:r>
      <w:r>
        <w:rPr>
          <w:rFonts w:hAnsi="宋体"/>
          <w:color w:val="000000" w:themeColor="text1"/>
          <w:sz w:val="24"/>
          <w:szCs w:val="24"/>
          <w:highlight w:val="none"/>
        </w:rPr>
        <w:t xml:space="preserve">份，具有同等法律效力，甲</w:t>
      </w:r>
      <w:r>
        <w:rPr>
          <w:rFonts w:hint="eastAsia" w:hAnsi="宋体"/>
          <w:color w:val="000000" w:themeColor="text1"/>
          <w:sz w:val="24"/>
          <w:szCs w:val="24"/>
          <w:highlight w:val="none"/>
        </w:rPr>
        <w:t xml:space="preserve">方、</w:t>
      </w:r>
      <w:r>
        <w:rPr>
          <w:rFonts w:hAnsi="宋体"/>
          <w:color w:val="000000" w:themeColor="text1"/>
          <w:sz w:val="24"/>
          <w:szCs w:val="24"/>
          <w:highlight w:val="none"/>
        </w:rPr>
        <w:t xml:space="preserve">乙方各执一份。</w:t>
      </w:r>
      <w:r>
        <w:rPr>
          <w:color w:val="000000" w:themeColor="text1"/>
          <w:highlight w:val="none"/>
        </w:rPr>
      </w:r>
    </w:p>
    <w:p>
      <w:pPr>
        <w:pStyle w:val="887"/>
        <w:ind w:left="480" w:hanging="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甲方：                        乙方： </w:t>
      </w:r>
      <w:r>
        <w:rPr>
          <w:color w:val="000000" w:themeColor="text1"/>
          <w:highlight w:val="none"/>
        </w:rPr>
      </w:r>
    </w:p>
    <w:p>
      <w:pPr>
        <w:pStyle w:val="887"/>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color w:val="000000" w:themeColor="text1"/>
          <w:highlight w:val="none"/>
        </w:rPr>
      </w:r>
    </w:p>
    <w:p>
      <w:pPr>
        <w:pStyle w:val="887"/>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color w:val="000000" w:themeColor="text1"/>
          <w:highlight w:val="none"/>
        </w:rPr>
      </w:r>
    </w:p>
    <w:p>
      <w:pPr>
        <w:pStyle w:val="887"/>
        <w:ind w:firstLine="240"/>
        <w:spacing w:line="400" w:lineRule="exac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color w:val="000000" w:themeColor="text1"/>
          <w:highlight w:val="none"/>
        </w:rPr>
      </w:r>
    </w:p>
    <w:p>
      <w:pPr>
        <w:ind w:firstLine="480"/>
        <w:spacing w:line="400" w:lineRule="exact"/>
        <w:rPr>
          <w:color w:val="000000" w:themeColor="text1"/>
          <w:sz w:val="24"/>
          <w:szCs w:val="24"/>
          <w:highlight w:val="none"/>
        </w:rPr>
      </w:pPr>
      <w:r>
        <w:rPr>
          <w:rFonts w:hint="eastAsia"/>
          <w:color w:val="000000" w:themeColor="text1"/>
          <w:sz w:val="24"/>
          <w:szCs w:val="24"/>
          <w:highlight w:val="none"/>
        </w:rPr>
        <w:t xml:space="preserve">                                </w:t>
      </w:r>
      <w:r>
        <w:rPr>
          <w:color w:val="000000" w:themeColor="text1"/>
          <w:sz w:val="24"/>
          <w:szCs w:val="24"/>
          <w:highlight w:val="none"/>
        </w:rPr>
        <w:t xml:space="preserve">签订日期：      年  </w:t>
      </w:r>
      <w:r>
        <w:rPr>
          <w:rFonts w:hint="eastAsia"/>
          <w:color w:val="000000" w:themeColor="text1"/>
          <w:sz w:val="24"/>
          <w:szCs w:val="24"/>
          <w:highlight w:val="none"/>
        </w:rPr>
        <w:t xml:space="preserve">  </w:t>
      </w:r>
      <w:r>
        <w:rPr>
          <w:color w:val="000000" w:themeColor="text1"/>
          <w:sz w:val="24"/>
          <w:szCs w:val="24"/>
          <w:highlight w:val="none"/>
        </w:rPr>
        <w:t xml:space="preserve">月  </w:t>
      </w:r>
      <w:r>
        <w:rPr>
          <w:rFonts w:hint="eastAsia"/>
          <w:color w:val="000000" w:themeColor="text1"/>
          <w:sz w:val="24"/>
          <w:szCs w:val="24"/>
          <w:highlight w:val="none"/>
        </w:rPr>
        <w:t xml:space="preserve"> </w:t>
      </w:r>
      <w:r>
        <w:rPr>
          <w:color w:val="000000" w:themeColor="text1"/>
          <w:sz w:val="24"/>
          <w:szCs w:val="24"/>
          <w:highlight w:val="none"/>
        </w:rPr>
        <w:t xml:space="preserve">日</w:t>
      </w:r>
      <w:r>
        <w:rPr>
          <w:color w:val="000000" w:themeColor="text1"/>
          <w:highlight w:val="none"/>
        </w:rP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6938590"/>
      <w:r>
        <w:rPr>
          <w:color w:val="000000" w:themeColor="text1"/>
          <w:highlight w:val="none"/>
        </w:rPr>
      </w:r>
      <w:bookmarkStart w:id="187" w:name="_Toc120614244"/>
      <w:r>
        <w:rPr>
          <w:color w:val="000000" w:themeColor="text1"/>
          <w:highlight w:val="none"/>
        </w:rPr>
      </w:r>
      <w:bookmarkStart w:id="188" w:name="_Toc20823346"/>
      <w:r>
        <w:rPr>
          <w:color w:val="000000" w:themeColor="text1"/>
          <w:highlight w:val="none"/>
        </w:rPr>
      </w:r>
      <w:bookmarkStart w:id="189" w:name="_Toc462564139"/>
      <w:r>
        <w:rPr>
          <w:color w:val="000000" w:themeColor="text1"/>
          <w:highlight w:val="none"/>
        </w:rPr>
      </w:r>
      <w:bookmarkStart w:id="190" w:name="_Toc479757211"/>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rPr>
          <w:color w:val="000000" w:themeColor="text1"/>
          <w:highlight w:val="none"/>
        </w:rPr>
      </w:r>
    </w:p>
    <w:p>
      <w:pPr>
        <w:ind w:firstLine="48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26554093"/>
      <w:r>
        <w:rPr>
          <w:color w:val="000000" w:themeColor="text1"/>
          <w:highlight w:val="none"/>
        </w:rPr>
      </w:r>
      <w:bookmarkStart w:id="192" w:name="_Toc49090575"/>
      <w:r>
        <w:rPr>
          <w:rFonts w:hint="eastAsia" w:ascii="宋体" w:hAnsi="宋体"/>
          <w:color w:val="000000" w:themeColor="text1"/>
          <w:sz w:val="24"/>
          <w:szCs w:val="24"/>
          <w:highlight w:val="none"/>
        </w:rPr>
        <w:t xml:space="preserve">投标人所投内容必须满足以下要求，不得有负偏离。</w:t>
      </w:r>
      <w:r>
        <w:rPr>
          <w:color w:val="000000" w:themeColor="text1"/>
          <w:highlight w:val="none"/>
        </w:rPr>
      </w:r>
    </w:p>
    <w:p>
      <w:pPr>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本项目属性：服务类项目</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本项目标的物所属行业：软件和信息技术服务业</w:t>
      </w:r>
      <w:r>
        <w:rPr>
          <w:color w:val="000000" w:themeColor="text1"/>
          <w:highlight w:val="none"/>
        </w:rPr>
      </w:r>
    </w:p>
    <w:p>
      <w:pPr>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color w:val="000000" w:themeColor="text1"/>
          <w:highlight w:val="none"/>
        </w:rPr>
      </w:r>
    </w:p>
    <w:p>
      <w:pPr>
        <w:ind w:firstLine="562"/>
        <w:spacing w:line="360" w:lineRule="auto"/>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zh-CN"/>
        </w:rPr>
        <w:t xml:space="preserve">一、项目背景 </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我局省预算管理一体化系统运维项目即将到期，需采购新一轮运维服务项目，做好省预算管理一体化系统（以下简称“省系统”）的运维保障和拓展功能部署实施工作。</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省系统拓展功能部署实施的服务对象包括无锡市、区、镇街三级财政用户、预算单位用户、银行用户等，需完成拓展功能在无锡市本级、</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val="zh-CN"/>
        </w:rPr>
        <w:t xml:space="preserve">个区</w:t>
      </w:r>
      <w:r>
        <w:rPr>
          <w:rFonts w:hint="eastAsia"/>
          <w:color w:val="000000" w:themeColor="text1"/>
          <w:highlight w:val="none"/>
          <w:lang w:eastAsia="zh-CN"/>
        </w:rPr>
        <w:t xml:space="preserve">（</w:t>
      </w:r>
      <w:r>
        <w:rPr>
          <w:rFonts w:hint="eastAsia" w:ascii="宋体" w:hAnsi="宋体" w:eastAsia="宋体" w:cs="宋体"/>
          <w:color w:val="000000" w:themeColor="text1"/>
          <w:sz w:val="24"/>
          <w:szCs w:val="24"/>
          <w:highlight w:val="none"/>
          <w:lang w:val="zh-CN" w:eastAsia="zh-CN"/>
        </w:rPr>
        <w:t xml:space="preserve">梁溪区、锡山区、惠山区、滨湖区、新吴区）</w:t>
      </w:r>
      <w:r>
        <w:rPr>
          <w:rFonts w:hint="eastAsia" w:ascii="宋体" w:hAnsi="宋体" w:cs="宋体"/>
          <w:color w:val="000000" w:themeColor="text1"/>
          <w:sz w:val="24"/>
          <w:szCs w:val="24"/>
          <w:highlight w:val="none"/>
          <w:lang w:val="zh-CN"/>
        </w:rPr>
        <w:t xml:space="preserve">及</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val="zh-CN"/>
        </w:rPr>
        <w:t xml:space="preserve">个区所辖镇街的本地化配置部署、对接联调测试、系统培训和上线运行。</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省系统运维保障的服务对象包括无锡市、区两级财政用户、预算单位用户、银行用户等，需保障各项财政业务在省系统高效稳定运行。</w:t>
      </w:r>
      <w:r>
        <w:rPr>
          <w:color w:val="000000" w:themeColor="text1"/>
          <w:highlight w:val="none"/>
        </w:rPr>
      </w:r>
    </w:p>
    <w:p>
      <w:pPr>
        <w:ind w:firstLine="562"/>
        <w:spacing w:line="360" w:lineRule="auto"/>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zh-CN"/>
        </w:rPr>
        <w:t xml:space="preserve">二、运维服务要求</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（一）省系统年度初始化</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针对已经在我市市本级和</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val="zh-CN"/>
        </w:rPr>
        <w:t xml:space="preserve">个区上线运行的省系统功能模块，根据当年度部、省、市业务要求，配合财政部门对系统中现有规则、流程、要素、权限等信息进行梳理，根据财政确认后的结果对系统各功能模块进行年度初始化配置，做好市本级和</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val="zh-CN"/>
        </w:rPr>
        <w:t xml:space="preserve">个区的省系统年度初始化工作，保障无锡市本级和</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val="zh-CN"/>
        </w:rPr>
        <w:t xml:space="preserve">个区的新年度财政业务工作顺利开展。</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（二）省系统功能完善</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针对无锡市市、区、镇街三级已上线的省系统各业务板块和功能模块，根据无锡本地业务需求，与省系统开发商对接，配合做好功能拓展开发和功能优化。包括但不限于以下内容： </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收集、梳理无锡市市、区、镇街三级财政部门和预算单位提出的系统优化完善的合理需求，积极与省厅开发商对接。</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根据无锡市市、区、镇街三级财政业务管理模式的调整和变更需求，对接配合软件开发商，进行需求调研和省系统调整方案的制定，完成功能测试及更新上线。</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收集、整理省系统运行中发现的系统设计缺陷，并与开发商沟通。</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配合省系统开发商完成软件性能的优化，提高系统的运行效率。</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配合省系统开发商完成系统升级和部署测试。</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其他功能完善。  </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（三）省系统拓展业务板块和功能模块部署、实施、运维</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根据省财政厅工作要求，为无锡市市、区、镇街三级完成省系统所有拓展业务板块和功能模块的部署、实施、培训、上线运行，并为无锡市市、区两级财政部门和预算单位用户提供拓展业务板块和功能的运维保障服务。</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同时，针对省系统现有功能中，暂未覆盖到市、区、镇街的部分，按照省厅要求完成市、区、镇街的相关功能部署、实施、培训、上线，并为市、区两级财政部门和预算单位提供运维保障服务。</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（四）省系统对接联调测试</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按照省预算管理一体化系统的推广要求和我市的实际业务需求，在保证业务信息化处理贯通的基础上，解决相关信息系统合理对接需求。为此，实施服务团队需配合做好省预算管理一体化系统相关的对接联调，包括但不限于与人民银行、代理银行、省市相关职能部门系统的对接联调。</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（五）省系统日常维护</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针对市、区两级已上线的省系统业务板块、功能以及市、区两级新部署上线的业务板块、功能，提供省系统日常维护，相关工作包括但不限于以下内容：</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提供日常操作业务咨询，修复异常业务操作。</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编制查询报表，以及报表模板调整。</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对系统进行初始化和日常调整、配置工作，如配置系统参数、业务参数、凭单格式、打印设置、计算公式、视图和查询报表等。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与省系统开发商协调系统版本升级、打补丁，调整中间件、插件等相关设置，排除系统运行中出现的故障等。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收集整理各类系统故障记录，分析具体原因并协调各方改进。</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协调省厅做好系统数据回流、备份服务，确保数据安全性。</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提供系统实施和运行维护文档，包括且不限于用户手册、系统手册、应急预案、故障紧急处理措施等。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年度结转服务，建立新年度账、年底业务数据调整、数据结转等。基于业务应用的定制优化服务。</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9</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市级单位会计核算软件、资产云平台的运维均包含在本项目日常维护中。</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（六）省系统考核支持</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根据财政部、省财政厅相关要求，在市县预算管理一体化建设情况考核中，为无锡市市、区、镇街三级提供全范围考核支持服务，包括但不限于以下考核内容：</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财政总预算。该项考核包含日常动态版本准确度情况和政府预算与地方政府债务平衡关系情况。涉及内容包括：有效区划的认定；本级收入准确度的检查；本级支出准确度的检查；转移支付准确度的检查；债务转贷支出认定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部门预算编制。该项考核包含全市预算单位预算编制规范性情况，各级财政部门预算与本级政府预算编报完整性情况，部门预算支出与本级可用财力的匹配情况。涉及内容包括：有效区划的认定；预算单位开展了单位收入预算编制；预算单位开展了项目年度绩效编制；预算单位为行政事业单位，且该单位有人员信息时，应具有人员类和公用经费项目；根据《预算管理一体化规范》要求，政府预算支出应按支出功能分类编制到项级科目；计算年初部门预算支出安排情况；是计算可用财力口径；计算偏离度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财政总预算执行。该项考核包含总预算会计和财政专户情况，涉及内容包括：有效区划认定；总会计核算数据规范性情况；总预算执行收支比较；各级财政预算执行支出情况；各级财政库款情况；各级财政暂付款情况；分区划将一体化系统账户信息中财政专户数量与各地上报省厅备案的财政专户进行对比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单位会计核算。该项考核包含单位预算执行和单位会计核算，涉及内容包括：预算单位执行数据规范性情况；单位预算执行支出对比情况；直达资金项目执行情况；预算单位会计核算数据规范性情况；财政拨款资金记账凭证和支付凭证对比；单位资金记账凭证和支付凭证对比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资产管理。该项考核包含系统上线情况、系统使用情况和数据信息管理情况等。涉及内容包括：开通资产管理系统，完成基础功能配置、部署；资产管理员开通及时登录系统，并完成初始核账工作；及时进行资产台账数据更新，资产计提折旧，月结，系统中资产台账业务日期与实际会计月份同步；资产云系统中单位信息与一体化系统、资产年报等其他业务单位信息保持基本一致，并能及时更新和校验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其他。</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运维团队需针对实际考核内容，协助我市财政部门梳理、核实考核规则，积极提供技术支持，配合做好考核数据修正和完善。</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（七）省系统培训服务</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对系统用户提供咨询、操作指导和培训服务。系统培训包括两种：</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最终用户培训：针对预算单位或财政业务人员的操作培训，侧重业务管理与系统的管理操作。不限于集中培训和上门辅导培训服务等方式。</w:t>
      </w:r>
      <w:r>
        <w:rPr>
          <w:color w:val="000000" w:themeColor="text1"/>
          <w:highlight w:val="none"/>
        </w:rPr>
      </w:r>
    </w:p>
    <w:p>
      <w:pPr>
        <w:numPr>
          <w:ilvl w:val="0"/>
          <w:numId w:val="5"/>
        </w:num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培训对象：按角色分</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预算单位</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）经办会计：对业务数据的录入、打印、查询等相应的操作。</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zh-CN"/>
        </w:rPr>
        <w:t xml:space="preserve">）审核会计：掌握业务数据的审核、报表的编制、报送等工作。</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主管部门</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）经办会计：掌握对业务数据的录入、对数据和报表的查询方法。</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zh-CN"/>
        </w:rPr>
        <w:t xml:space="preserve">）审核会计：掌握对业务数据的审核、报表的编制、报送等工作。</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财政相关处室</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）业务处室专管员：掌握业务的办理，对数据的审核、汇总审核，数据的查询和汇总数据的查询方法。</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zh-CN"/>
        </w:rPr>
        <w:t xml:space="preserve">）业务处室处长：掌握业务的办理，对数据的审核、汇总审核，数据的查询和汇总数据的查询方法。</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CN"/>
        </w:rPr>
        <w:t xml:space="preserve">）综合处室：掌握对业务的办理，数据的审核、汇总审核，数据的查询和汇总数据的查询方法。</w:t>
      </w:r>
      <w:r>
        <w:rPr>
          <w:color w:val="000000" w:themeColor="text1"/>
          <w:highlight w:val="none"/>
        </w:rPr>
      </w:r>
    </w:p>
    <w:p>
      <w:pPr>
        <w:numPr>
          <w:ilvl w:val="0"/>
          <w:numId w:val="5"/>
        </w:num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培训内容：根据前期是否培训过的功能模块采取不同的方式进行培训</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）前期已经培训过的功能模块</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主要采用问答的培训方式，由用户提出常见问题，讲师根据用户提出的问题进行讲解和系统演示。</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讲师总结用户经常碰到的问题以及注意事项，统一进行讲解和系统演示。</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针对重点问题和重点内容进行重点讲解和演示，强化用户熟悉掌握系统。</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zh-CN"/>
        </w:rPr>
        <w:t xml:space="preserve">）新功能新模块   </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主要结合实际业务发生情况，进行系统功能演示和讲解，包含软件整体介绍，登录演示、界面演示、功能模块演示，业务流程讲解、用户模拟操作及指导等。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系统管理用户培训：针对系统管理人员的培训，侧重系统管理、配置、维护的培训，包括基础数据管理、用户角色授权、工作流管理、报表管理、银行接口交换中心、安全认证管理等。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（八）省系统应急服务</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提供省系统应急服务，主要包括：</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为降低系统运行风险，在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为保障业务高峰期内系统平稳运行，需根据财政业务周期性特点，加大运维保障力度，增加驻场服务，以缓解业务高峰期间的系统压力风险。</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（九）安全及保密要求</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安全运维管理要求</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供应商必须遵守省财政厅、无锡市财政局的各项规范制度要求，规范日常的安全操作，通过实施必要的安全运行维护措施，保障符合财政部的总体安全策略。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技术安全防护要求</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信息保密要求</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供应商承诺对采购人提供的内部资料、数据和信息予以保密。未经采购人书面许可，不许以任何形式向第三方透露。成交供应商应与驻场运维服务人员签订保密协议，督促运维服务人员严格遵守保密规定。</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（十）运维服务要求</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实施运维服务要充分考虑容错、应急、负载等要求，依托运维服务平台，结合严谨的测试管理，以保证系统的高可用性。</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实施运维服务模式包括现场支持、电话咨询、Email等。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1.现场服务</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实施运维服务商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2.电话服务标准</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实施运维服务商提供7*24小时电话服务，在日常技术支持服务中，服务团队接听财政用户、预算单位用户的热线电话，详细记录问题并解答用户提出的问题，及时更新对应系统的运维知识库，做好问题跟踪记录。对电话服务承诺如下：</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工作日内实时响应客户电话。</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非工作日30分钟内回复客户电话。</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3.故障响应标准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积极与省厅系统开发运维团队沟通协调，解决故障</w:t>
      </w:r>
      <w:r>
        <w:rPr>
          <w:rFonts w:hint="eastAsia"/>
          <w:color w:val="000000" w:themeColor="text1"/>
          <w:highlight w:val="none"/>
        </w:rPr>
        <w:t xml:space="preserve">。</w:t>
      </w:r>
      <w:r>
        <w:rPr>
          <w:rFonts w:hint="eastAsia" w:ascii="宋体" w:hAnsi="宋体"/>
          <w:color w:val="000000" w:themeColor="text1"/>
          <w:sz w:val="24"/>
          <w:highlight w:val="none"/>
        </w:rPr>
        <w:t xml:space="preserve">投标人需</w:t>
      </w:r>
      <w:r>
        <w:rPr>
          <w:rFonts w:hint="eastAsia" w:ascii="宋体" w:hAnsi="宋体"/>
          <w:color w:val="000000" w:themeColor="text1"/>
          <w:sz w:val="24"/>
          <w:highlight w:val="none"/>
          <w:lang w:val="en-US" w:eastAsia="zh-CN"/>
        </w:rPr>
        <w:t xml:space="preserve">提供对</w:t>
      </w:r>
      <w:r>
        <w:rPr>
          <w:rFonts w:hint="eastAsia" w:ascii="宋体" w:hAnsi="宋体"/>
          <w:color w:val="000000" w:themeColor="text1"/>
          <w:sz w:val="24"/>
          <w:highlight w:val="none"/>
        </w:rPr>
        <w:t xml:space="preserve">一般故障在</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小时内解决、重大故障在</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小时内响应并在</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小时内解决的服务响应时间和故障恢复时间</w:t>
      </w:r>
      <w:r>
        <w:rPr>
          <w:rFonts w:hint="eastAsia" w:ascii="宋体" w:hAnsi="宋体"/>
          <w:color w:val="000000" w:themeColor="text1"/>
          <w:sz w:val="24"/>
          <w:highlight w:val="none"/>
          <w:lang w:eastAsia="zh-CN"/>
        </w:rPr>
        <w:t xml:space="preserve">。</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（十一）运维保障要求</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省预算管理一体化系统运维服务以财政局信息处为管理团队，以驻场外包服务方式组建实施服务执行团队，驻场实施服务人员数量不少于19人的服务团队，其中市本级不少于9人，每个区级财政不少于2人，并保持稳定。根据管理团队的要求、相关管理制度以及合同约定，依靠运维管理系统对省预算管理一体化系统提供运维服务。</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实施服务管理团队</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无锡市财政局信息处行使管理团队的相关职能，负责管理省预算管理一体化系统在无锡市的实施服务保障工作，并对实施服务执行团队的工作进行考核。</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实施服务执行团队</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实施服务执行团队由中标供应商提供现场驻点服务人员组建，提供省预算管理一体化系统的实施服务和运行保障。</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相关要求</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中标人</w:t>
      </w:r>
      <w:r>
        <w:rPr>
          <w:rFonts w:hint="eastAsia" w:ascii="宋体" w:hAnsi="宋体" w:cs="宋体"/>
          <w:color w:val="000000" w:themeColor="text1"/>
          <w:sz w:val="24"/>
          <w:szCs w:val="24"/>
          <w:highlight w:val="none"/>
          <w:lang w:val="zh-CN"/>
        </w:rPr>
        <w:t xml:space="preserve">必须成立合理的维护团队，建立健全保障项目维护的各项管理制度和质量保证体系。</w:t>
      </w:r>
      <w:r>
        <w:rPr>
          <w:rFonts w:hint="eastAsia" w:ascii="宋体" w:hAnsi="宋体" w:cs="宋体"/>
          <w:color w:val="000000" w:themeColor="text1"/>
          <w:sz w:val="24"/>
          <w:szCs w:val="24"/>
          <w:highlight w:val="none"/>
        </w:rPr>
        <w:t xml:space="preserve">中标人</w:t>
      </w:r>
      <w:r>
        <w:rPr>
          <w:rFonts w:hint="eastAsia" w:ascii="宋体" w:hAnsi="宋体" w:cs="宋体"/>
          <w:color w:val="000000" w:themeColor="text1"/>
          <w:sz w:val="24"/>
          <w:szCs w:val="24"/>
          <w:highlight w:val="none"/>
          <w:lang w:val="zh-CN"/>
        </w:rPr>
        <w:t xml:space="preserve">必须指定专职于本地维护的人员，配置相应的项目维护、需求分析、测试、培训等人员，保证有足够的高素质人员参加本地维护。</w:t>
      </w:r>
      <w:r>
        <w:rPr>
          <w:rFonts w:hint="eastAsia" w:ascii="宋体" w:hAnsi="宋体" w:cs="宋体"/>
          <w:color w:val="000000" w:themeColor="text1"/>
          <w:sz w:val="24"/>
          <w:szCs w:val="24"/>
          <w:highlight w:val="none"/>
        </w:rPr>
        <w:t xml:space="preserve">中标人</w:t>
      </w:r>
      <w:r>
        <w:rPr>
          <w:rFonts w:hint="eastAsia" w:ascii="宋体" w:hAnsi="宋体" w:cs="宋体"/>
          <w:color w:val="000000" w:themeColor="text1"/>
          <w:sz w:val="24"/>
          <w:szCs w:val="24"/>
          <w:highlight w:val="none"/>
          <w:lang w:val="zh-CN"/>
        </w:rPr>
        <w:t xml:space="preserve">应对上述内容列出详细人员计划，包括人员姓名、经验、学历和在维护中的职责分工等。</w:t>
      </w:r>
      <w:r>
        <w:rPr>
          <w:rFonts w:hint="eastAsia" w:ascii="宋体" w:hAnsi="宋体" w:cs="宋体"/>
          <w:color w:val="000000" w:themeColor="text1"/>
          <w:sz w:val="24"/>
          <w:szCs w:val="24"/>
          <w:highlight w:val="none"/>
        </w:rPr>
        <w:t xml:space="preserve">中标人</w:t>
      </w:r>
      <w:r>
        <w:rPr>
          <w:rFonts w:hint="eastAsia" w:ascii="宋体" w:hAnsi="宋体" w:cs="宋体"/>
          <w:color w:val="000000" w:themeColor="text1"/>
          <w:sz w:val="24"/>
          <w:szCs w:val="24"/>
          <w:highlight w:val="none"/>
          <w:lang w:val="zh-CN"/>
        </w:rPr>
        <w:t xml:space="preserve">应根据维护的具体内容和要求，向采购人提交切实可行的维护工作方案。</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服务人员能力要求：参与本地维护的技术人员必须具有财政业务系统服务经验，能够与用户进行良好沟通，具备相关产品维护能力。</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培训：为持续提升运维服务人员服务管理水平及业务技能，</w:t>
      </w:r>
      <w:r>
        <w:rPr>
          <w:rFonts w:hint="eastAsia" w:ascii="宋体" w:hAnsi="宋体" w:cs="宋体"/>
          <w:color w:val="000000" w:themeColor="text1"/>
          <w:sz w:val="24"/>
          <w:szCs w:val="24"/>
          <w:highlight w:val="none"/>
        </w:rPr>
        <w:t xml:space="preserve">中标人</w:t>
      </w:r>
      <w:r>
        <w:rPr>
          <w:rFonts w:hint="eastAsia" w:ascii="宋体" w:hAnsi="宋体" w:cs="宋体"/>
          <w:color w:val="000000" w:themeColor="text1"/>
          <w:sz w:val="24"/>
          <w:szCs w:val="24"/>
          <w:highlight w:val="none"/>
          <w:lang w:val="zh-CN"/>
        </w:rPr>
        <w:t xml:space="preserve">应按照采购人的培训计划及要求，按时参加由采购人指定的相关信息技术及项目管理培训，</w:t>
      </w:r>
      <w:r>
        <w:rPr>
          <w:rFonts w:hint="eastAsia" w:ascii="宋体" w:hAnsi="宋体" w:cs="宋体"/>
          <w:color w:val="000000" w:themeColor="text1"/>
          <w:sz w:val="24"/>
          <w:szCs w:val="24"/>
          <w:highlight w:val="none"/>
        </w:rPr>
        <w:t xml:space="preserve">中标人</w:t>
      </w:r>
      <w:r>
        <w:rPr>
          <w:rFonts w:hint="eastAsia" w:ascii="宋体" w:hAnsi="宋体" w:cs="宋体"/>
          <w:color w:val="000000" w:themeColor="text1"/>
          <w:sz w:val="24"/>
          <w:szCs w:val="24"/>
          <w:highlight w:val="none"/>
          <w:lang w:val="zh-CN"/>
        </w:rPr>
        <w:t xml:space="preserve">承担由此发生的与</w:t>
      </w:r>
      <w:r>
        <w:rPr>
          <w:rFonts w:hint="eastAsia" w:ascii="宋体" w:hAnsi="宋体" w:cs="宋体"/>
          <w:color w:val="000000" w:themeColor="text1"/>
          <w:sz w:val="24"/>
          <w:szCs w:val="24"/>
          <w:highlight w:val="none"/>
        </w:rPr>
        <w:t xml:space="preserve">中标人</w:t>
      </w:r>
      <w:r>
        <w:rPr>
          <w:rFonts w:hint="eastAsia" w:ascii="宋体" w:hAnsi="宋体" w:cs="宋体"/>
          <w:color w:val="000000" w:themeColor="text1"/>
          <w:sz w:val="24"/>
          <w:szCs w:val="24"/>
          <w:highlight w:val="none"/>
          <w:lang w:val="zh-CN"/>
        </w:rPr>
        <w:t xml:space="preserve">驻场服务人员相关的费用。</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人员稳定性：</w:t>
      </w:r>
      <w:r>
        <w:rPr>
          <w:rFonts w:hint="eastAsia" w:ascii="宋体" w:hAnsi="宋体" w:cs="宋体"/>
          <w:b/>
          <w:bCs/>
          <w:color w:val="000000" w:themeColor="text1"/>
          <w:sz w:val="24"/>
          <w:szCs w:val="24"/>
          <w:highlight w:val="none"/>
          <w:lang w:val="zh-CN"/>
        </w:rPr>
        <w:t xml:space="preserve">供应商需提供承诺函，保证项目经理和驻场服务人员的稳定，响应文件中指定的项目经理及驻场服务人员必须与合同中的人员一致，不得擅自更换项目经理及驻场服务人员，</w:t>
      </w:r>
      <w:r>
        <w:rPr>
          <w:rFonts w:hint="eastAsia" w:ascii="宋体" w:hAnsi="宋体" w:eastAsia="宋体" w:cs="宋体"/>
          <w:b/>
          <w:bCs/>
          <w:color w:val="000000" w:themeColor="text1"/>
          <w:sz w:val="24"/>
          <w:szCs w:val="24"/>
          <w:highlight w:val="none"/>
          <w:lang w:val="zh-CN" w:eastAsia="zh-CN"/>
        </w:rPr>
        <w:t xml:space="preserve">供应商未经采购人书面同意擅自更换项目经理或驻场服务人员的，视为严重违约。采购人有权依法启动合同解除流程，并要求其承担相应责任。</w:t>
      </w:r>
      <w:r>
        <w:rPr>
          <w:rFonts w:hint="eastAsia" w:ascii="宋体" w:hAnsi="宋体" w:cs="宋体"/>
          <w:b/>
          <w:bCs/>
          <w:color w:val="000000" w:themeColor="text1"/>
          <w:sz w:val="24"/>
          <w:szCs w:val="24"/>
          <w:highlight w:val="none"/>
          <w:lang w:val="zh-CN"/>
        </w:rPr>
        <w:t xml:space="preserve">（不提供承诺函视为无效投标文件）</w:t>
      </w:r>
      <w:r>
        <w:rPr>
          <w:rFonts w:hint="eastAsia" w:ascii="宋体" w:hAnsi="宋体" w:cs="宋体"/>
          <w:color w:val="000000" w:themeColor="text1"/>
          <w:sz w:val="24"/>
          <w:szCs w:val="24"/>
          <w:highlight w:val="none"/>
          <w:lang w:val="zh-CN"/>
        </w:rPr>
        <w:t xml:space="preserve">如确实因特殊原因需更换项目经理及驻场服务人员，需要管理团队同意后方可调整。</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驻场实施服务人员应严格遵从财政局相关管理制度、考勤制度和保密要求，实施服务商与财政局签订保密协议，为本项目配备的实施服务人员均须同公司签署保密协议，不得将此项目执行过程中接触到的任何财政信息透露给第三方或带离财政局。</w:t>
      </w:r>
      <w:r>
        <w:rPr>
          <w:color w:val="000000" w:themeColor="text1"/>
          <w:highlight w:val="none"/>
        </w:rP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提供不定期的系统巡检服务。根据用户反馈问题和系统运行日志，对系统的数据空间、系统性能以及软硬件系统的运行状况进行检查，及时发现并解决潜在问题，并对系统性能作优化。</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cs="宋体"/>
          <w:color w:val="000000" w:themeColor="text1"/>
          <w:sz w:val="24"/>
          <w:szCs w:val="24"/>
          <w:highlight w:val="none"/>
          <w:lang w:val="zh-CN"/>
        </w:rPr>
        <w:t xml:space="preserve">在实施服务年度结束后，现场驻场工程师提交系统维护总结报告。</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zh-CN"/>
        </w:rPr>
        <w:t xml:space="preserve">）履约验收要求</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  履约验收主体：无锡市财政局</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  履约验收时间：运维服务期满一年</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  履约验收方式：现场验收</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  履约验收程序：无锡市财政局工作人员对照招标文件及合同约定的验收标准进行现场查验。中标方需提供服务期内功能模块上线及本地化部署情况汇报、工作总结、运维日志、应急日志等运维服务材料。验收通过后按合同约定方式支付合同款，不通过则下达整改通知并监督复验，复验仍不通过则按合同违约条款处理。</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  履约验收内容和标准：根据省财政厅工作安排和考核要求，按进度完成省预算管理一体化系统相关拓围业务板块和功能的本地化部署并上线稳定运行。</w:t>
      </w:r>
      <w:r>
        <w:rPr>
          <w:color w:val="000000" w:themeColor="text1"/>
          <w:highlight w:val="none"/>
        </w:rPr>
      </w:r>
    </w:p>
    <w:p>
      <w:pPr>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color w:val="000000" w:themeColor="text1"/>
          <w:highlight w:val="none"/>
        </w:rP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投标总报价包括满足本项目服务要求的从项目中标起到项目正式交付以及服务期内所发生的一切费用。</w:t>
      </w:r>
      <w:r>
        <w:rPr>
          <w:color w:val="000000" w:themeColor="text1"/>
          <w:highlight w:val="none"/>
        </w:rP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进口产品是指通过中国海关报关验放进入中国境内且产自关境外的产品。</w:t>
      </w:r>
      <w:r>
        <w:rPr>
          <w:color w:val="000000" w:themeColor="text1"/>
          <w:highlight w:val="none"/>
        </w:rP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color w:val="000000" w:themeColor="text1"/>
          <w:highlight w:val="none"/>
        </w:rPr>
      </w:r>
    </w:p>
    <w:p>
      <w:pPr>
        <w:numPr>
          <w:ilvl w:val="1"/>
          <w:numId w:val="6"/>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color w:val="000000" w:themeColor="text1"/>
          <w:highlight w:val="none"/>
        </w:rP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/完工期：自合同签订生效之日起一年。</w:t>
      </w:r>
      <w:r>
        <w:rPr>
          <w:color w:val="000000" w:themeColor="text1"/>
          <w:highlight w:val="none"/>
        </w:rP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付款方式：合同签订生效后的一个月内，支付合同总金额的3</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%；运维期满10个月后的一个月内，支付合同总金额的</w:t>
      </w:r>
      <w:r>
        <w:rPr>
          <w:rFonts w:hint="eastAsia" w:ascii="宋体" w:hAnsi="宋体"/>
          <w:bCs/>
          <w:color w:val="000000" w:themeColor="text1"/>
          <w:sz w:val="24"/>
          <w:szCs w:val="24"/>
          <w:highlight w:val="none"/>
          <w:lang w:val="en-US" w:eastAsia="zh-CN"/>
        </w:rPr>
        <w:t xml:space="preserve">38</w:t>
      </w:r>
      <w:r>
        <w:rPr>
          <w:rFonts w:hint="eastAsia" w:ascii="宋体" w:hAnsi="宋体"/>
          <w:bCs/>
          <w:color w:val="000000" w:themeColor="text1"/>
          <w:sz w:val="24"/>
          <w:szCs w:val="24"/>
          <w:highlight w:val="none"/>
        </w:rPr>
        <w:t xml:space="preserve">%；运维期满一年后的一个月内，支付合同总金额的2</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w:t>
      </w:r>
      <w:r>
        <w:rPr>
          <w:color w:val="000000" w:themeColor="text1"/>
          <w:highlight w:val="none"/>
        </w:rP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color w:val="000000" w:themeColor="text1"/>
          <w:highlight w:val="none"/>
        </w:rP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color w:val="000000" w:themeColor="text1"/>
          <w:highlight w:val="none"/>
        </w:rP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color w:val="000000" w:themeColor="text1"/>
          <w:highlight w:val="none"/>
        </w:rPr>
      </w:r>
    </w:p>
    <w:p>
      <w:pPr>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color w:val="000000" w:themeColor="text1"/>
          <w:highlight w:val="none"/>
        </w:rP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color w:val="000000" w:themeColor="text1"/>
          <w:highlight w:val="none"/>
        </w:rP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color w:val="000000" w:themeColor="text1"/>
          <w:highlight w:val="none"/>
        </w:rP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color w:val="000000" w:themeColor="text1"/>
          <w:highlight w:val="none"/>
        </w:rP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color w:val="000000" w:themeColor="text1"/>
          <w:highlight w:val="none"/>
        </w:rP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color w:val="000000" w:themeColor="text1"/>
          <w:highlight w:val="none"/>
        </w:rP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color w:val="000000" w:themeColor="text1"/>
          <w:highlight w:val="none"/>
        </w:rP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1"/>
      <w:r>
        <w:rPr>
          <w:color w:val="000000" w:themeColor="text1"/>
          <w:highlight w:val="none"/>
        </w:rPr>
      </w:r>
      <w:bookmarkStart w:id="194" w:name="OLE_LINK2"/>
      <w:r>
        <w:rPr>
          <w:rFonts w:hint="eastAsia" w:ascii="宋体"/>
          <w:bCs/>
          <w:color w:val="000000" w:themeColor="text1"/>
          <w:sz w:val="24"/>
          <w:szCs w:val="24"/>
          <w:highlight w:val="none"/>
        </w:rPr>
        <w:t xml:space="preserve">《保障中小企业款项支付条例》（中华人民共和国国务院令第802号）</w:t>
      </w:r>
      <w:bookmarkEnd w:id="193"/>
      <w:r>
        <w:rPr>
          <w:color w:val="000000" w:themeColor="text1"/>
          <w:highlight w:val="none"/>
        </w:rPr>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color w:val="000000" w:themeColor="text1"/>
          <w:highlight w:val="none"/>
        </w:rP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color w:val="000000" w:themeColor="text1"/>
          <w:highlight w:val="none"/>
        </w:rP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color w:val="000000" w:themeColor="text1"/>
          <w:highlight w:val="none"/>
        </w:rP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color w:val="000000" w:themeColor="text1"/>
          <w:highlight w:val="none"/>
        </w:rPr>
      </w:r>
    </w:p>
    <w:p>
      <w:pPr>
        <w:pStyle w:val="938"/>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color w:val="000000" w:themeColor="text1"/>
          <w:highlight w:val="none"/>
        </w:rPr>
      </w:r>
    </w:p>
    <w:p>
      <w:pPr>
        <w:pStyle w:val="938"/>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color w:val="000000" w:themeColor="text1"/>
          <w:highlight w:val="none"/>
        </w:rPr>
      </w:r>
    </w:p>
    <w:p>
      <w:pPr>
        <w:pStyle w:val="938"/>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color w:val="000000" w:themeColor="text1"/>
          <w:highlight w:val="none"/>
        </w:rPr>
      </w:r>
    </w:p>
    <w:p>
      <w:pPr>
        <w:pStyle w:val="938"/>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第二部分  评标标准</w:t>
      </w:r>
      <w:r>
        <w:rPr>
          <w:color w:val="000000" w:themeColor="text1"/>
          <w:highlight w:val="none"/>
        </w:rPr>
      </w:r>
    </w:p>
    <w:p>
      <w:pPr>
        <w:pStyle w:val="938"/>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color w:val="000000" w:themeColor="text1"/>
          <w:highlight w:val="none"/>
        </w:rP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color w:val="000000" w:themeColor="text1"/>
          <w:highlight w:val="none"/>
        </w:rP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color w:val="000000" w:themeColor="text1"/>
          <w:highlight w:val="none"/>
        </w:rP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rPr>
          <w:color w:val="000000" w:themeColor="text1"/>
          <w:highlight w:val="none"/>
        </w:rP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highlight w:val="none"/>
        </w:rP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rPr>
          <w:color w:val="000000" w:themeColor="text1"/>
          <w:highlight w:val="none"/>
        </w:rP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color w:val="000000" w:themeColor="text1"/>
          <w:highlight w:val="none"/>
        </w:rP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p>
    <w:p>
      <w:pPr>
        <w:pStyle w:val="938"/>
        <w:ind w:firstLine="360"/>
        <w:spacing w:before="0" w:after="0" w:line="500" w:lineRule="exact"/>
        <w:rPr>
          <w:rFonts w:hint="eastAsia" w:ascii="宋体" w:hAnsi="宋体"/>
          <w:color w:val="000000" w:themeColor="text1"/>
          <w:highlight w:val="none"/>
          <w:shd w:val="clear" w:color="ffffff" w:fill="d9d9d9"/>
        </w:rPr>
      </w:pPr>
      <w:r>
        <w:rPr>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color w:val="000000" w:themeColor="text1"/>
          <w:highlight w:val="none"/>
        </w:rPr>
      </w:r>
    </w:p>
    <w:p>
      <w:pPr>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1</w:t>
      </w:r>
      <w:r>
        <w:rPr>
          <w:rFonts w:hint="eastAsia" w:ascii="宋体" w:hAnsi="宋体"/>
          <w:b/>
          <w:bCs/>
          <w:color w:val="000000" w:themeColor="text1"/>
          <w:sz w:val="24"/>
          <w:szCs w:val="24"/>
          <w:highlight w:val="none"/>
        </w:rPr>
        <w:t xml:space="preserve">0分）：</w:t>
      </w:r>
      <w:r>
        <w:rPr>
          <w:color w:val="000000" w:themeColor="text1"/>
          <w:highlight w:val="none"/>
        </w:rP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themeColor="text1"/>
          <w:highlight w:val="none"/>
        </w:rP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color w:val="000000" w:themeColor="text1"/>
          <w:highlight w:val="none"/>
        </w:rP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因落实政府采购政策进行价格调整的，以调整后的价格计算评标基准价和投标报价。关于价格扣除详见本章第二部分“一、落实政府采购政策的价格调整”。</w:t>
      </w:r>
      <w:r>
        <w:rPr>
          <w:color w:val="000000" w:themeColor="text1"/>
          <w:highlight w:val="none"/>
        </w:rPr>
      </w:r>
    </w:p>
    <w:p>
      <w:pPr>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项目人员配置情况（1</w:t>
      </w:r>
      <w:r>
        <w:rPr>
          <w:rFonts w:hint="eastAsia" w:ascii="宋体" w:hAnsi="宋体"/>
          <w:b/>
          <w:bCs/>
          <w:color w:val="000000" w:themeColor="text1"/>
          <w:sz w:val="24"/>
          <w:szCs w:val="24"/>
          <w:highlight w:val="none"/>
          <w:lang w:val="en-US" w:eastAsia="zh-CN"/>
        </w:rPr>
        <w:t xml:space="preserve">7</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考察投标人为本项目配备的人员情况，人员以填列的《项目人员配置清单》为准（格式见附件），并按评分标准要求提供相应证明材料及表格要求提供所填人员社保证明，否则不得分。以下人员不得兼任。</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  项目经理（4分）：项目经理具有ITSS证书的得2分，</w:t>
      </w:r>
      <w:r>
        <w:rPr>
          <w:rFonts w:hint="eastAsia" w:ascii="宋体" w:hAnsi="宋体"/>
          <w:bCs/>
          <w:color w:val="000000" w:themeColor="text1"/>
          <w:sz w:val="24"/>
          <w:szCs w:val="24"/>
          <w:highlight w:val="none"/>
        </w:rPr>
        <w:t xml:space="preserve">需提供有效的证书扫描件，否则不得分；</w:t>
      </w:r>
      <w:r>
        <w:rPr>
          <w:rFonts w:hint="eastAsia" w:ascii="宋体" w:hAnsi="宋体"/>
          <w:color w:val="000000" w:themeColor="text1"/>
          <w:sz w:val="24"/>
          <w:highlight w:val="none"/>
        </w:rPr>
        <w:t xml:space="preserve">项目经理具有三年及以上的与本项目同类项目管理经验的得2分，须提供用户单位出具的并盖有用户单位公章的项目经理的项目管理相关经验及时间证明，否则不得分。本项最高4分。</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2.2  驻场实施服务人员（</w:t>
      </w:r>
      <w:r>
        <w:rPr>
          <w:rFonts w:hint="eastAsia" w:ascii="宋体" w:hAnsi="宋体"/>
          <w:color w:val="000000" w:themeColor="text1"/>
          <w:sz w:val="24"/>
          <w:highlight w:val="none"/>
          <w:lang w:val="en-US" w:eastAsia="zh-CN"/>
        </w:rPr>
        <w:t xml:space="preserve">10</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lang w:val="en-US" w:eastAsia="zh-CN"/>
        </w:rPr>
        <w:t xml:space="preserve">除项目经理以外，</w:t>
      </w:r>
      <w:r>
        <w:rPr>
          <w:rFonts w:hint="eastAsia" w:ascii="宋体" w:hAnsi="宋体"/>
          <w:color w:val="000000" w:themeColor="text1"/>
          <w:sz w:val="24"/>
          <w:highlight w:val="none"/>
        </w:rPr>
        <w:t xml:space="preserve">投标人为本项目提供的驻场实施服务人员中具有三年以上与本项目同类项目实施运维经验的人员数量。人员数量8人以下</w:t>
      </w:r>
      <w:r>
        <w:rPr>
          <w:rFonts w:hint="eastAsia" w:ascii="宋体" w:hAnsi="宋体"/>
          <w:color w:val="000000" w:themeColor="text1"/>
          <w:sz w:val="24"/>
          <w:highlight w:val="none"/>
          <w:lang w:val="en-US" w:eastAsia="zh-CN"/>
        </w:rPr>
        <w:t xml:space="preserve">不得分，满8人</w:t>
      </w:r>
      <w:r>
        <w:rPr>
          <w:rFonts w:hint="eastAsia" w:ascii="宋体" w:hAnsi="宋体"/>
          <w:color w:val="000000" w:themeColor="text1"/>
          <w:sz w:val="24"/>
          <w:highlight w:val="none"/>
        </w:rPr>
        <w:t xml:space="preserve">（含）得1分，满10人（含）得2分，满12人（含）得3分，满14人（含）得4分，满16人（含）得</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分，满18人（含）得</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分，满19人（含）得</w:t>
      </w:r>
      <w:r>
        <w:rPr>
          <w:rFonts w:hint="eastAsia" w:ascii="宋体" w:hAnsi="宋体"/>
          <w:color w:val="000000" w:themeColor="text1"/>
          <w:sz w:val="24"/>
          <w:highlight w:val="none"/>
          <w:lang w:val="en-US" w:eastAsia="zh-CN"/>
        </w:rPr>
        <w:t xml:space="preserve">10</w:t>
      </w:r>
      <w:r>
        <w:rPr>
          <w:rFonts w:hint="eastAsia" w:ascii="宋体" w:hAnsi="宋体"/>
          <w:color w:val="000000" w:themeColor="text1"/>
          <w:sz w:val="24"/>
          <w:highlight w:val="none"/>
        </w:rPr>
        <w:t xml:space="preserve">分，最高10分。以投标人填列的《项目人员配置清单》（格式见附件）为准，需提供项目合同及盖单位公章的用户证明，否则不得分。本项最高</w:t>
      </w:r>
      <w:r>
        <w:rPr>
          <w:rFonts w:hint="eastAsia" w:ascii="宋体" w:hAnsi="宋体"/>
          <w:color w:val="000000" w:themeColor="text1"/>
          <w:sz w:val="24"/>
          <w:highlight w:val="none"/>
          <w:lang w:val="en-US" w:eastAsia="zh-CN"/>
        </w:rPr>
        <w:t xml:space="preserve">10</w:t>
      </w:r>
      <w:r>
        <w:rPr>
          <w:rFonts w:hint="eastAsia" w:ascii="宋体" w:hAnsi="宋体"/>
          <w:color w:val="000000" w:themeColor="text1"/>
          <w:sz w:val="24"/>
          <w:highlight w:val="none"/>
        </w:rPr>
        <w:t xml:space="preserve">分。</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2.3 服务响应时间和故障恢复时间承诺（</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分）：投标人需提供对一般故障在半小时内响应并在1小时内解决、重大故障在半小时内响应并在2小时内解决的服务响应时间和故障恢复时间承诺函，提供得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分，不提供不得分。本项最高</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w:t>
      </w:r>
      <w:r>
        <w:rPr>
          <w:color w:val="000000" w:themeColor="text1"/>
          <w:highlight w:val="none"/>
        </w:rPr>
      </w:r>
    </w:p>
    <w:p>
      <w:pPr>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w:t>
      </w:r>
      <w:r>
        <w:rPr>
          <w:rFonts w:hint="eastAsia" w:ascii="宋体" w:hAnsi="宋体"/>
          <w:b/>
          <w:bCs/>
          <w:color w:val="000000" w:themeColor="text1"/>
          <w:sz w:val="24"/>
          <w:szCs w:val="24"/>
          <w:highlight w:val="none"/>
          <w:lang w:val="en-US" w:eastAsia="zh-CN"/>
        </w:rPr>
        <w:t xml:space="preserve">8</w:t>
      </w:r>
      <w:r>
        <w:rPr>
          <w:rFonts w:hint="eastAsia" w:ascii="宋体" w:hAnsi="宋体"/>
          <w:b/>
          <w:bCs/>
          <w:color w:val="000000" w:themeColor="text1"/>
          <w:sz w:val="24"/>
          <w:szCs w:val="24"/>
          <w:highlight w:val="none"/>
        </w:rPr>
        <w:t xml:space="preserve">分）：</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 业绩（</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分）：投标人提供自2022年1月1日以来</w:t>
      </w:r>
      <w:r>
        <w:rPr>
          <w:rFonts w:hint="eastAsia" w:ascii="宋体" w:hAnsi="宋体" w:cs="宋体"/>
          <w:color w:val="000000" w:themeColor="text1"/>
          <w:sz w:val="24"/>
          <w:szCs w:val="24"/>
          <w:highlight w:val="none"/>
        </w:rPr>
        <w:t xml:space="preserve">（以合同签订日期为准）</w:t>
      </w:r>
      <w:r>
        <w:rPr>
          <w:rFonts w:hint="eastAsia" w:ascii="宋体" w:hAnsi="宋体" w:eastAsia="宋体" w:cs="宋体"/>
          <w:color w:val="000000" w:themeColor="text1"/>
          <w:sz w:val="24"/>
          <w:szCs w:val="24"/>
          <w:highlight w:val="none"/>
        </w:rPr>
        <w:t xml:space="preserve">与本项目同类项目案例，</w:t>
      </w:r>
      <w:r>
        <w:rPr>
          <w:rFonts w:hint="eastAsia" w:ascii="宋体" w:hAnsi="宋体"/>
          <w:color w:val="000000" w:themeColor="text1"/>
          <w:sz w:val="24"/>
          <w:highlight w:val="none"/>
        </w:rPr>
        <w:t xml:space="preserve">每提供一个案例得2分，最高6分，</w:t>
      </w:r>
      <w:r>
        <w:rPr>
          <w:rFonts w:hint="eastAsia" w:ascii="宋体" w:hAnsi="宋体" w:cs="宋体"/>
          <w:color w:val="000000" w:themeColor="text1"/>
          <w:sz w:val="24"/>
          <w:szCs w:val="24"/>
          <w:highlight w:val="none"/>
        </w:rPr>
        <w:t xml:space="preserve">合同扫描件上传至投标系统中，否则不得分。</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3.2投标人证书（</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分）：投标人具有ITSS信息技术服务运行维护标准符合性证书的得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分，须提供相应有效证书扫描件，否则不得分。本项最高</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 </w:t>
      </w:r>
      <w:r>
        <w:rPr>
          <w:color w:val="000000" w:themeColor="text1"/>
          <w:highlight w:val="none"/>
        </w:rPr>
      </w:r>
    </w:p>
    <w:p>
      <w:pPr>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项目方案（6</w:t>
      </w:r>
      <w:r>
        <w:rPr>
          <w:rFonts w:hint="eastAsia" w:ascii="宋体" w:hAnsi="宋体"/>
          <w:b/>
          <w:bCs/>
          <w:color w:val="000000" w:themeColor="text1"/>
          <w:sz w:val="24"/>
          <w:szCs w:val="24"/>
          <w:highlight w:val="none"/>
          <w:lang w:val="en-US" w:eastAsia="zh-CN"/>
        </w:rPr>
        <w:t xml:space="preserve">5</w:t>
      </w:r>
      <w:r>
        <w:rPr>
          <w:rFonts w:hint="eastAsia" w:ascii="宋体" w:hAnsi="宋体"/>
          <w:b/>
          <w:bCs/>
          <w:color w:val="000000" w:themeColor="text1"/>
          <w:sz w:val="24"/>
          <w:szCs w:val="24"/>
          <w:highlight w:val="none"/>
        </w:rPr>
        <w:t xml:space="preserve">分）</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 </w:t>
      </w:r>
      <w:r>
        <w:rPr>
          <w:rFonts w:hint="eastAsia" w:ascii="宋体" w:hAnsi="宋体"/>
          <w:b/>
          <w:bCs/>
          <w:color w:val="000000" w:themeColor="text1"/>
          <w:sz w:val="24"/>
          <w:highlight w:val="none"/>
        </w:rPr>
        <w:t xml:space="preserve">4.1省预算管理一体化业务拓围板块和功能的部署方案（25分）：</w:t>
      </w:r>
      <w:r>
        <w:rPr>
          <w:rFonts w:hint="eastAsia" w:ascii="宋体" w:hAnsi="宋体"/>
          <w:color w:val="000000" w:themeColor="text1"/>
          <w:sz w:val="24"/>
          <w:highlight w:val="none"/>
        </w:rPr>
        <w:t xml:space="preserve">考察投标人所投部署实施方案中，对省预算管理一体化业务拓围板块部署工作的理解，与需求之间的吻合程度和偏差情况，在投标方案满足招标文件要求的情况。</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4.1.1 基础数据整理（3分）：能结合采购人的业务实际和上级规范，详细地描述无锡市市、区、镇街三级基础数据整理内容，包含</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单位及人员基础情况；</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项目及业务流程；</w:t>
      </w:r>
      <w:r>
        <w:rPr>
          <w:rFonts w:hint="eastAsia" w:ascii="汉仪书宋二S" w:hAnsi="汉仪书宋二S" w:eastAsia="汉仪书宋二S" w:cs="汉仪书宋二S"/>
          <w:color w:val="000000" w:themeColor="text1"/>
          <w:sz w:val="24"/>
          <w:highlight w:val="none"/>
        </w:rPr>
        <w:t xml:space="preserve">③系统角色</w:t>
      </w:r>
      <w:r>
        <w:rPr>
          <w:rFonts w:hint="eastAsia" w:ascii="宋体" w:hAnsi="宋体"/>
          <w:color w:val="000000" w:themeColor="text1"/>
          <w:sz w:val="24"/>
          <w:highlight w:val="none"/>
        </w:rPr>
        <w:t xml:space="preserve">权限相关信息等数据。</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3项全部方案的，得3分；方案较完整，科学合理性较强，设计较清晰详细，能够符合本项目需求，能够提供上述2-3项方案的，得2分；方案完整性、科学合理性、设计的清晰详细程度等只能基本满足要求，能够提供上述1-3项方案的，得1分；无方案的，不得分。</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4.1.2 现有板块拓围功能的部署实施（7分）：能结合采购人的业务实际，详细地描述省系统现有板块拓围功能在无锡市市、区、镇街三级的部署实施方案，包含</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预算编制板块及预算编制的现有拓围功能模块；</w:t>
      </w:r>
      <w:r>
        <w:rPr>
          <w:rFonts w:hint="eastAsia" w:ascii="东文宋体" w:hAnsi="东文宋体" w:eastAsia="东文宋体" w:cs="东文宋体"/>
          <w:color w:val="000000" w:themeColor="text1"/>
          <w:sz w:val="24"/>
          <w:highlight w:val="none"/>
        </w:rPr>
        <w:t xml:space="preserve">②</w:t>
      </w:r>
      <w:r>
        <w:rPr>
          <w:rFonts w:hint="eastAsia" w:ascii="宋体" w:hAnsi="宋体"/>
          <w:color w:val="000000" w:themeColor="text1"/>
          <w:sz w:val="24"/>
          <w:highlight w:val="none"/>
        </w:rPr>
        <w:t xml:space="preserve">预算执行板块及预算执行的现有拓围功能模块；</w:t>
      </w:r>
      <w:r>
        <w:rPr>
          <w:rFonts w:hint="eastAsia" w:ascii="汉仪书宋二S" w:hAnsi="汉仪书宋二S" w:eastAsia="汉仪书宋二S" w:cs="汉仪书宋二S"/>
          <w:color w:val="000000" w:themeColor="text1"/>
          <w:sz w:val="24"/>
          <w:highlight w:val="none"/>
        </w:rPr>
        <w:t xml:space="preserve">③</w:t>
      </w:r>
      <w:r>
        <w:rPr>
          <w:rFonts w:hint="eastAsia" w:ascii="宋体" w:hAnsi="宋体"/>
          <w:color w:val="000000" w:themeColor="text1"/>
          <w:sz w:val="24"/>
          <w:highlight w:val="none"/>
        </w:rPr>
        <w:t xml:space="preserve">单位会计核算板块及单位会计核算的现有拓围功能模块。</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3项全部方案的，得7分；方案较完整，科学合理性较强，设计较清晰详细，能够符合本项目需求，能够提供上述2-3项方案的，得5分；方案完整性、科学合理性、设计的清晰详细程度等只能基本满足要求，能够提供上述1-3项方案的，得3分；无方案的，不得分。</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4.1.3 新增拓围板块的部署实施（7分）：能结合采购人的业务实际，详细地描述省系统新增拓围板块在无锡市市、区、镇街的部署实施方案，包含</w:t>
      </w:r>
      <w:r>
        <w:rPr>
          <w:rFonts w:hint="eastAsia" w:ascii="汉仪书宋二S" w:hAnsi="汉仪书宋二S" w:eastAsia="汉仪书宋二S" w:cs="汉仪书宋二S"/>
          <w:color w:val="000000" w:themeColor="text1"/>
          <w:sz w:val="24"/>
          <w:highlight w:val="none"/>
        </w:rPr>
        <w:t xml:space="preserve">①部门决算及新增</w:t>
      </w:r>
      <w:r>
        <w:rPr>
          <w:rFonts w:hint="eastAsia" w:ascii="宋体" w:hAnsi="宋体"/>
          <w:color w:val="000000" w:themeColor="text1"/>
          <w:sz w:val="24"/>
          <w:highlight w:val="none"/>
        </w:rPr>
        <w:t xml:space="preserve">拓围功能模块的部署实施；</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财政部下发系统整合等。</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2项全部方案的，得7分；方案较完整，科学合理性较强，设计较清晰详细，能够符合本项目需求，能够提供上述1-2项方案的，得5分；方案完整性、科学合理性、设计的清晰详细程度等只能基本满足要求，能够提供上述1-2项方案的，得3分；无方案的，不得分。</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4.1.4 专项业务系统的融合集成（5分）：能结合采购人的业务实际，详细地描述专项业务系统融合集成的部署实施方案，包括</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资产管理；</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非税管理；</w:t>
      </w:r>
      <w:r>
        <w:rPr>
          <w:rFonts w:hint="eastAsia" w:ascii="汉仪书宋二S" w:hAnsi="汉仪书宋二S" w:eastAsia="汉仪书宋二S" w:cs="汉仪书宋二S"/>
          <w:color w:val="000000" w:themeColor="text1"/>
          <w:sz w:val="24"/>
          <w:highlight w:val="none"/>
        </w:rPr>
        <w:t xml:space="preserve">③</w:t>
      </w:r>
      <w:r>
        <w:rPr>
          <w:rFonts w:hint="eastAsia" w:ascii="宋体" w:hAnsi="宋体"/>
          <w:color w:val="000000" w:themeColor="text1"/>
          <w:sz w:val="24"/>
          <w:highlight w:val="none"/>
        </w:rPr>
        <w:t xml:space="preserve">政府采购管理；</w:t>
      </w:r>
      <w:r>
        <w:rPr>
          <w:rFonts w:hint="eastAsia" w:ascii="汉仪书宋二S" w:hAnsi="汉仪书宋二S" w:eastAsia="汉仪书宋二S" w:cs="汉仪书宋二S"/>
          <w:color w:val="000000" w:themeColor="text1"/>
          <w:sz w:val="24"/>
          <w:highlight w:val="none"/>
        </w:rPr>
        <w:t xml:space="preserve">④</w:t>
      </w:r>
      <w:r>
        <w:rPr>
          <w:rFonts w:hint="eastAsia" w:ascii="宋体" w:hAnsi="宋体"/>
          <w:color w:val="000000" w:themeColor="text1"/>
          <w:sz w:val="24"/>
          <w:highlight w:val="none"/>
        </w:rPr>
        <w:t xml:space="preserve">财务共享管理等专项业务管理系统的融合。</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4项全部方案的，得5分；方案较完整，科学合理性较强，设计较清晰详细，能够符合本项目需求，能够提供上述2-4项方案的，得3分；方案完整性、科学合理性、设计的清晰详细程度等只能基本满足要求，能够提供上述1-4项方案的，得2分；无方案的，不得分。</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4.1.5 各类报表编制（3分）：能结合采购人的业务需求，详细地描述各类报表的编制方案，重点考核报表编制的规范性和完整性，包括</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预算编制查询报表；</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预算执行查询报表。</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2项全部方案的，得3分；方案较完整，科学合理性较强，设计较清晰详细，能够符合本项目需求，能够提供上述1-2项方案的，得2分；方案完整性、科学合理性、设计的清晰详细程度等只能基本满足要求，能够提供上述1-2项方案的，得1分；无方案的，不得分。</w:t>
      </w:r>
      <w:r>
        <w:rPr>
          <w:color w:val="000000" w:themeColor="text1"/>
          <w:highlight w:val="none"/>
        </w:rPr>
      </w:r>
    </w:p>
    <w:p>
      <w:pPr>
        <w:ind w:firstLine="482"/>
        <w:spacing w:line="500" w:lineRule="exact"/>
        <w:rPr>
          <w:rFonts w:ascii="宋体" w:hAnsi="宋体"/>
          <w:color w:val="000000" w:themeColor="text1"/>
          <w:sz w:val="24"/>
          <w:highlight w:val="none"/>
        </w:rPr>
      </w:pPr>
      <w:r>
        <w:rPr>
          <w:rFonts w:hint="eastAsia" w:ascii="宋体" w:hAnsi="宋体"/>
          <w:b/>
          <w:bCs/>
          <w:color w:val="000000" w:themeColor="text1"/>
          <w:sz w:val="24"/>
          <w:highlight w:val="none"/>
        </w:rPr>
        <w:t xml:space="preserve">4.2 系统对接方案（7分）：</w:t>
      </w:r>
      <w:r>
        <w:rPr>
          <w:rFonts w:hint="eastAsia" w:ascii="宋体" w:hAnsi="宋体"/>
          <w:color w:val="000000" w:themeColor="text1"/>
          <w:sz w:val="24"/>
          <w:highlight w:val="none"/>
        </w:rPr>
        <w:t xml:space="preserve">按照无锡市财政业务的现状和省预算管理一体化系统的推广要求，在保证业务信息化处理贯通的基础上，解决相关信息系统合理对接需求。包括省预算管理一体化系统与以下系统的有效衔接：</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人民银行系统、代理银行相关系统；</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省级相关部门业务系统；</w:t>
      </w:r>
      <w:r>
        <w:rPr>
          <w:rFonts w:hint="eastAsia" w:ascii="汉仪书宋二S" w:hAnsi="汉仪书宋二S" w:eastAsia="汉仪书宋二S" w:cs="汉仪书宋二S"/>
          <w:color w:val="000000" w:themeColor="text1"/>
          <w:sz w:val="24"/>
          <w:highlight w:val="none"/>
        </w:rPr>
        <w:t xml:space="preserve">③</w:t>
      </w:r>
      <w:r>
        <w:rPr>
          <w:rFonts w:hint="eastAsia" w:ascii="宋体" w:hAnsi="宋体"/>
          <w:color w:val="000000" w:themeColor="text1"/>
          <w:sz w:val="24"/>
          <w:highlight w:val="none"/>
        </w:rPr>
        <w:t xml:space="preserve">无锡市相关业务系统。</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3项全部方案的，得7分；方案较完整，科学合理性较强，设计较清晰详细，能够符合本项目需求，能够提供上述2-3项方案的，得5分；方案完整性、科学合理性、设计的清晰详细程度等只能基本满足要求，能够提供上述1-3项方案的，得3分；无方案的，不得分。</w:t>
      </w:r>
      <w:r>
        <w:rPr>
          <w:color w:val="000000" w:themeColor="text1"/>
          <w:highlight w:val="none"/>
        </w:rPr>
      </w:r>
    </w:p>
    <w:p>
      <w:pPr>
        <w:ind w:firstLine="482"/>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b/>
          <w:bCs/>
          <w:color w:val="000000" w:themeColor="text1"/>
          <w:sz w:val="24"/>
          <w:highlight w:val="none"/>
        </w:rPr>
        <w:t xml:space="preserve">4.3 项目需求把握理解（</w:t>
      </w:r>
      <w:r>
        <w:rPr>
          <w:rFonts w:hint="eastAsia" w:ascii="宋体" w:hAnsi="宋体"/>
          <w:b/>
          <w:bCs/>
          <w:color w:val="000000" w:themeColor="text1"/>
          <w:sz w:val="24"/>
          <w:highlight w:val="none"/>
          <w:lang w:val="en-US" w:eastAsia="zh-CN"/>
        </w:rPr>
        <w:t xml:space="preserve">3</w:t>
      </w:r>
      <w:r>
        <w:rPr>
          <w:rFonts w:hint="eastAsia" w:ascii="宋体" w:hAnsi="宋体"/>
          <w:b/>
          <w:bCs/>
          <w:color w:val="000000" w:themeColor="text1"/>
          <w:sz w:val="24"/>
          <w:highlight w:val="none"/>
        </w:rPr>
        <w:t xml:space="preserve">分）：</w:t>
      </w:r>
      <w:r>
        <w:rPr>
          <w:rFonts w:hint="eastAsia" w:ascii="宋体" w:hAnsi="宋体"/>
          <w:color w:val="000000" w:themeColor="text1"/>
          <w:sz w:val="24"/>
          <w:highlight w:val="none"/>
        </w:rPr>
        <w:t xml:space="preserve">根据投标人对</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项目背景、</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财政业务标准、</w:t>
      </w:r>
      <w:r>
        <w:rPr>
          <w:rFonts w:hint="eastAsia" w:ascii="汉仪书宋二S" w:hAnsi="汉仪书宋二S" w:eastAsia="汉仪书宋二S" w:cs="汉仪书宋二S"/>
          <w:color w:val="000000" w:themeColor="text1"/>
          <w:sz w:val="24"/>
          <w:highlight w:val="none"/>
        </w:rPr>
        <w:t xml:space="preserve">③</w:t>
      </w:r>
      <w:r>
        <w:rPr>
          <w:rFonts w:hint="eastAsia" w:ascii="宋体" w:hAnsi="宋体"/>
          <w:color w:val="000000" w:themeColor="text1"/>
          <w:sz w:val="24"/>
          <w:highlight w:val="none"/>
        </w:rPr>
        <w:t xml:space="preserve">采购人业务应用现状、</w:t>
      </w:r>
      <w:r>
        <w:rPr>
          <w:rFonts w:hint="eastAsia" w:ascii="汉仪书宋二S" w:hAnsi="汉仪书宋二S" w:eastAsia="汉仪书宋二S" w:cs="汉仪书宋二S"/>
          <w:color w:val="000000" w:themeColor="text1"/>
          <w:sz w:val="24"/>
          <w:highlight w:val="none"/>
        </w:rPr>
        <w:t xml:space="preserve">④</w:t>
      </w:r>
      <w:r>
        <w:rPr>
          <w:rFonts w:hint="eastAsia" w:ascii="宋体" w:hAnsi="宋体"/>
          <w:color w:val="000000" w:themeColor="text1"/>
          <w:sz w:val="24"/>
          <w:highlight w:val="none"/>
        </w:rPr>
        <w:t xml:space="preserve">系统操作功能、</w:t>
      </w:r>
      <w:r>
        <w:rPr>
          <w:rFonts w:hint="eastAsia" w:ascii="汉仪书宋二S" w:hAnsi="汉仪书宋二S" w:eastAsia="汉仪书宋二S" w:cs="汉仪书宋二S"/>
          <w:color w:val="000000" w:themeColor="text1"/>
          <w:sz w:val="24"/>
          <w:highlight w:val="none"/>
        </w:rPr>
        <w:t xml:space="preserve">⑤</w:t>
      </w:r>
      <w:r>
        <w:rPr>
          <w:rFonts w:hint="eastAsia" w:ascii="宋体" w:hAnsi="宋体"/>
          <w:color w:val="000000" w:themeColor="text1"/>
          <w:sz w:val="24"/>
          <w:highlight w:val="none"/>
        </w:rPr>
        <w:t xml:space="preserve">实施服务要求等需求的了解、熟悉程度，以及提供的分析解决方案是否完整清晰进行综合评议。</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方案完整，科学合理，设计清晰详细，完全符合本项目需求，且能够提供上述5项全部方案的，得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分；方案完整性、科学合理性、设计的清晰详细程度等</w:t>
      </w:r>
      <w:r>
        <w:rPr>
          <w:rFonts w:hint="eastAsia" w:ascii="宋体" w:hAnsi="宋体"/>
          <w:color w:val="000000" w:themeColor="text1"/>
          <w:sz w:val="24"/>
          <w:highlight w:val="none"/>
          <w:lang w:eastAsia="zh-CN"/>
        </w:rPr>
        <w:t xml:space="preserve">比较</w:t>
      </w:r>
      <w:r>
        <w:rPr>
          <w:rFonts w:hint="eastAsia" w:ascii="宋体" w:hAnsi="宋体"/>
          <w:color w:val="000000" w:themeColor="text1"/>
          <w:sz w:val="24"/>
          <w:highlight w:val="none"/>
        </w:rPr>
        <w:t xml:space="preserve">满足要求，</w:t>
      </w:r>
      <w:r>
        <w:rPr>
          <w:rFonts w:hint="eastAsia" w:ascii="宋体" w:hAnsi="宋体"/>
          <w:color w:val="000000" w:themeColor="text1"/>
          <w:sz w:val="24"/>
          <w:highlight w:val="none"/>
          <w:lang w:eastAsia="zh-CN"/>
        </w:rPr>
        <w:t xml:space="preserve">且</w:t>
      </w:r>
      <w:r>
        <w:rPr>
          <w:rFonts w:hint="eastAsia" w:ascii="宋体" w:hAnsi="宋体"/>
          <w:color w:val="000000" w:themeColor="text1"/>
          <w:sz w:val="24"/>
          <w:highlight w:val="none"/>
        </w:rPr>
        <w:t xml:space="preserve">能够提供上述</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5项方案的，得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分；方案完整性、科学合理性、设计的清晰详细程度等只能基本满足要求，能够提供上述1-5项方案的，得1分；无方案的，不得分。</w:t>
      </w:r>
      <w:r>
        <w:rPr>
          <w:color w:val="000000" w:themeColor="text1"/>
          <w:highlight w:val="none"/>
        </w:rPr>
      </w:r>
    </w:p>
    <w:p>
      <w:pPr>
        <w:ind w:firstLine="482"/>
        <w:spacing w:line="500" w:lineRule="exact"/>
        <w:rPr>
          <w:rFonts w:ascii="宋体" w:hAnsi="宋体"/>
          <w:color w:val="000000" w:themeColor="text1"/>
          <w:sz w:val="24"/>
          <w:highlight w:val="none"/>
        </w:rPr>
      </w:pPr>
      <w:r>
        <w:rPr>
          <w:rFonts w:hint="eastAsia" w:ascii="宋体" w:hAnsi="宋体"/>
          <w:b/>
          <w:bCs/>
          <w:color w:val="000000" w:themeColor="text1"/>
          <w:sz w:val="24"/>
          <w:highlight w:val="none"/>
        </w:rPr>
        <w:t xml:space="preserve">4.4 实施服务方案（</w:t>
      </w:r>
      <w:r>
        <w:rPr>
          <w:rFonts w:hint="eastAsia" w:ascii="宋体" w:hAnsi="宋体"/>
          <w:b/>
          <w:bCs/>
          <w:color w:val="000000" w:themeColor="text1"/>
          <w:sz w:val="24"/>
          <w:highlight w:val="none"/>
          <w:lang w:val="en-US" w:eastAsia="zh-CN"/>
        </w:rPr>
        <w:t xml:space="preserve">12</w:t>
      </w:r>
      <w:r>
        <w:rPr>
          <w:rFonts w:hint="eastAsia" w:ascii="宋体" w:hAnsi="宋体"/>
          <w:b/>
          <w:bCs/>
          <w:color w:val="000000" w:themeColor="text1"/>
          <w:sz w:val="24"/>
          <w:highlight w:val="none"/>
        </w:rPr>
        <w:t xml:space="preserve">分）：</w:t>
      </w:r>
      <w:r>
        <w:rPr>
          <w:rFonts w:hint="eastAsia" w:ascii="宋体" w:hAnsi="宋体"/>
          <w:color w:val="000000" w:themeColor="text1"/>
          <w:sz w:val="24"/>
          <w:highlight w:val="none"/>
        </w:rPr>
        <w:t xml:space="preserve">考察报价人的实施服务方案是否结合本项目的总体要求，方案是否完整、合理、科学。考察以下内容：</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4.4.1 实施服务规范性（</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分）：考察投标人是否根据实施服务内容制定相关流程制度，包括</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提出详细的实施服务规范和流程，</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建立实施服务管理相关制度。</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方案完整，科学合理，设计清晰详细，完全符合本项目需求，且能够提供上述2项全部方案的，得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分；方案完整性、科学合理性、设计的清晰详细程度等</w:t>
      </w:r>
      <w:r>
        <w:rPr>
          <w:rFonts w:hint="eastAsia" w:ascii="宋体" w:hAnsi="宋体"/>
          <w:color w:val="000000" w:themeColor="text1"/>
          <w:sz w:val="24"/>
          <w:highlight w:val="none"/>
          <w:lang w:eastAsia="zh-CN"/>
        </w:rPr>
        <w:t xml:space="preserve">比较</w:t>
      </w:r>
      <w:r>
        <w:rPr>
          <w:rFonts w:hint="eastAsia" w:ascii="宋体" w:hAnsi="宋体"/>
          <w:color w:val="000000" w:themeColor="text1"/>
          <w:sz w:val="24"/>
          <w:highlight w:val="none"/>
        </w:rPr>
        <w:t xml:space="preserve">满足要求，能够提供上述2项方案的，得</w:t>
      </w: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rPr>
        <w:t xml:space="preserve">分；方案完整性、科学合理性、设计的清晰详细程度等只能基本满足要求，能够提供上述1-2项方案的，得1分；无方案的，不得分。</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4.4.2 组织实施计划（</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分）：包括</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实施服务计划完整合理；</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进度安排详实。</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方案完整，科学合理，设计清晰详细，完全符合本项目需求，且能够提供上述2项全部方案的，得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分；方案完整性、科学合理性、设计的清晰详细程度等</w:t>
      </w:r>
      <w:r>
        <w:rPr>
          <w:rFonts w:hint="eastAsia" w:ascii="宋体" w:hAnsi="宋体"/>
          <w:color w:val="000000" w:themeColor="text1"/>
          <w:sz w:val="24"/>
          <w:highlight w:val="none"/>
          <w:lang w:eastAsia="zh-CN"/>
        </w:rPr>
        <w:t xml:space="preserve">比较</w:t>
      </w:r>
      <w:r>
        <w:rPr>
          <w:rFonts w:hint="eastAsia" w:ascii="宋体" w:hAnsi="宋体"/>
          <w:color w:val="000000" w:themeColor="text1"/>
          <w:sz w:val="24"/>
          <w:highlight w:val="none"/>
        </w:rPr>
        <w:t xml:space="preserve">满足要求，能够提供上述2项方案的，得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分；方案完整性、科学合理性、设计的清晰详细程度等只能基本满足要求，能够提供上述1-2项方案的，得1分；无方案的，不得分。</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4.4.3 应急措施（</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分）：包括</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针对实施服务进度、质量、风险、资源、范围等方面的日常必要管理措施有效；</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应急预案完善，有应急故障服务方案、系统重大故障的应急预案以及措施安排。</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方案完整，科学合理，设计清晰详细，完全符合本项目需求，且能够提供上述2项全部方案的，得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分；方案完整性、科学合理性、设计的清晰详细程度等</w:t>
      </w:r>
      <w:r>
        <w:rPr>
          <w:rFonts w:hint="eastAsia" w:ascii="宋体" w:hAnsi="宋体"/>
          <w:color w:val="000000" w:themeColor="text1"/>
          <w:sz w:val="24"/>
          <w:highlight w:val="none"/>
          <w:lang w:eastAsia="zh-CN"/>
        </w:rPr>
        <w:t xml:space="preserve">比较</w:t>
      </w:r>
      <w:r>
        <w:rPr>
          <w:rFonts w:hint="eastAsia" w:ascii="宋体" w:hAnsi="宋体"/>
          <w:color w:val="000000" w:themeColor="text1"/>
          <w:sz w:val="24"/>
          <w:highlight w:val="none"/>
        </w:rPr>
        <w:t xml:space="preserve">满足要求，能够提供上述2项方案的，得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分；方案完整性、科学合理性、设计的清晰详细程度等只能基本满足要求，能够提供上述1-2项方案的，得1分；无方案的，不得分。</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4.4.4 培训服务（</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分）：考察投标人提供的培训方案及承诺完备、具体、详细、可行，包括</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培训内容；</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培训计划；</w:t>
      </w:r>
      <w:r>
        <w:rPr>
          <w:rFonts w:hint="eastAsia" w:ascii="汉仪书宋二S" w:hAnsi="汉仪书宋二S" w:eastAsia="汉仪书宋二S" w:cs="汉仪书宋二S"/>
          <w:color w:val="000000" w:themeColor="text1"/>
          <w:sz w:val="24"/>
          <w:highlight w:val="none"/>
        </w:rPr>
        <w:t xml:space="preserve">③</w:t>
      </w:r>
      <w:r>
        <w:rPr>
          <w:rFonts w:hint="eastAsia" w:ascii="宋体" w:hAnsi="宋体"/>
          <w:color w:val="000000" w:themeColor="text1"/>
          <w:sz w:val="24"/>
          <w:highlight w:val="none"/>
        </w:rPr>
        <w:t xml:space="preserve">培训组织安排。</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方案完整，科学合理，设计清晰详细，完全符合本项目需求，且能够提供上述3项全部方案的，得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分；方案完整性、科学合理性、设计的清晰详细程度等</w:t>
      </w:r>
      <w:r>
        <w:rPr>
          <w:rFonts w:hint="eastAsia" w:ascii="宋体" w:hAnsi="宋体"/>
          <w:color w:val="000000" w:themeColor="text1"/>
          <w:sz w:val="24"/>
          <w:highlight w:val="none"/>
          <w:lang w:eastAsia="zh-CN"/>
        </w:rPr>
        <w:t xml:space="preserve">比较</w:t>
      </w:r>
      <w:r>
        <w:rPr>
          <w:rFonts w:hint="eastAsia" w:ascii="宋体" w:hAnsi="宋体"/>
          <w:color w:val="000000" w:themeColor="text1"/>
          <w:sz w:val="24"/>
          <w:highlight w:val="none"/>
        </w:rPr>
        <w:t xml:space="preserve">满足要求，能够提供上述3项方案的，得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分；方案完整性、科学合理性、设计的清晰详细程度等只能基本满足要求，能够提供上述1-3项方案的，得1分；无方案的，不得分。</w:t>
      </w:r>
      <w:r>
        <w:rPr>
          <w:color w:val="000000" w:themeColor="text1"/>
          <w:highlight w:val="none"/>
        </w:rPr>
      </w:r>
    </w:p>
    <w:p>
      <w:pPr>
        <w:ind w:firstLine="482"/>
        <w:spacing w:line="500" w:lineRule="exact"/>
        <w:rPr>
          <w:rFonts w:ascii="宋体" w:hAnsi="宋体"/>
          <w:color w:val="000000" w:themeColor="text1"/>
          <w:sz w:val="24"/>
          <w:highlight w:val="none"/>
        </w:rPr>
      </w:pPr>
      <w:r>
        <w:rPr>
          <w:rFonts w:hint="eastAsia" w:ascii="宋体" w:hAnsi="宋体"/>
          <w:b/>
          <w:bCs/>
          <w:color w:val="000000" w:themeColor="text1"/>
          <w:sz w:val="24"/>
          <w:highlight w:val="none"/>
        </w:rPr>
        <w:t xml:space="preserve">4.5 省预算管理一体化系统把握理解</w:t>
      </w:r>
      <w:r>
        <w:rPr>
          <w:rFonts w:ascii="宋体" w:hAnsi="宋体"/>
          <w:b/>
          <w:bCs/>
          <w:color w:val="000000" w:themeColor="text1"/>
          <w:sz w:val="24"/>
          <w:highlight w:val="none"/>
        </w:rPr>
        <w:t xml:space="preserve">（1</w:t>
      </w:r>
      <w:r>
        <w:rPr>
          <w:rFonts w:hint="eastAsia" w:ascii="宋体" w:hAnsi="宋体"/>
          <w:b/>
          <w:bCs/>
          <w:color w:val="000000" w:themeColor="text1"/>
          <w:sz w:val="24"/>
          <w:highlight w:val="none"/>
        </w:rPr>
        <w:t xml:space="preserve">8</w:t>
      </w:r>
      <w:r>
        <w:rPr>
          <w:rFonts w:ascii="宋体" w:hAnsi="宋体"/>
          <w:b/>
          <w:bCs/>
          <w:color w:val="000000" w:themeColor="text1"/>
          <w:sz w:val="24"/>
          <w:highlight w:val="none"/>
        </w:rPr>
        <w:t xml:space="preserve">分）</w:t>
      </w:r>
      <w:r>
        <w:rPr>
          <w:rFonts w:hint="eastAsia" w:ascii="宋体" w:hAnsi="宋体"/>
          <w:b/>
          <w:bCs/>
          <w:color w:val="000000" w:themeColor="text1"/>
          <w:sz w:val="24"/>
          <w:highlight w:val="none"/>
        </w:rPr>
        <w:t xml:space="preserve">：</w:t>
      </w:r>
      <w:r>
        <w:rPr>
          <w:rFonts w:ascii="宋体" w:hAnsi="宋体"/>
          <w:color w:val="000000" w:themeColor="text1"/>
          <w:sz w:val="24"/>
          <w:highlight w:val="none"/>
        </w:rPr>
        <w:t xml:space="preserve"> </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4.5.1 </w:t>
      </w:r>
      <w:r>
        <w:rPr>
          <w:rFonts w:ascii="宋体" w:hAnsi="宋体"/>
          <w:color w:val="000000" w:themeColor="text1"/>
          <w:sz w:val="24"/>
          <w:highlight w:val="none"/>
        </w:rPr>
        <w:t xml:space="preserve">对财政部、省财政厅预算管理一体化规范2.0的</w:t>
      </w:r>
      <w:r>
        <w:rPr>
          <w:rFonts w:hint="eastAsia" w:ascii="宋体" w:hAnsi="宋体"/>
          <w:color w:val="000000" w:themeColor="text1"/>
          <w:sz w:val="24"/>
          <w:highlight w:val="none"/>
        </w:rPr>
        <w:t xml:space="preserve">把握</w:t>
      </w:r>
      <w:r>
        <w:rPr>
          <w:rFonts w:ascii="宋体" w:hAnsi="宋体"/>
          <w:color w:val="000000" w:themeColor="text1"/>
          <w:sz w:val="24"/>
          <w:highlight w:val="none"/>
        </w:rPr>
        <w:t xml:space="preserve">理解（</w:t>
      </w: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分）</w:t>
      </w:r>
      <w:r>
        <w:rPr>
          <w:rFonts w:hint="eastAsia" w:ascii="宋体" w:hAnsi="宋体"/>
          <w:color w:val="000000" w:themeColor="text1"/>
          <w:sz w:val="24"/>
          <w:highlight w:val="none"/>
        </w:rPr>
        <w:t xml:space="preserve">:考察</w:t>
      </w:r>
      <w:r>
        <w:rPr>
          <w:rFonts w:ascii="宋体" w:hAnsi="宋体"/>
          <w:color w:val="000000" w:themeColor="text1"/>
          <w:sz w:val="24"/>
          <w:highlight w:val="none"/>
        </w:rPr>
        <w:t xml:space="preserve">投标人对</w:t>
      </w:r>
      <w:r>
        <w:rPr>
          <w:rFonts w:hint="eastAsia" w:ascii="汉仪书宋二S" w:hAnsi="汉仪书宋二S" w:eastAsia="汉仪书宋二S" w:cs="汉仪书宋二S"/>
          <w:color w:val="000000" w:themeColor="text1"/>
          <w:sz w:val="24"/>
          <w:highlight w:val="none"/>
        </w:rPr>
        <w:t xml:space="preserve">①</w:t>
      </w:r>
      <w:r>
        <w:rPr>
          <w:rFonts w:ascii="宋体" w:hAnsi="宋体"/>
          <w:color w:val="000000" w:themeColor="text1"/>
          <w:sz w:val="24"/>
          <w:highlight w:val="none"/>
        </w:rPr>
        <w:t xml:space="preserve">《预算管理一体化业务规范2.0》、</w:t>
      </w:r>
      <w:r>
        <w:rPr>
          <w:rFonts w:hint="eastAsia" w:ascii="汉仪书宋二S" w:hAnsi="汉仪书宋二S" w:eastAsia="汉仪书宋二S" w:cs="汉仪书宋二S"/>
          <w:color w:val="000000" w:themeColor="text1"/>
          <w:sz w:val="24"/>
          <w:highlight w:val="none"/>
        </w:rPr>
        <w:t xml:space="preserve">②</w:t>
      </w:r>
      <w:r>
        <w:rPr>
          <w:rFonts w:ascii="宋体" w:hAnsi="宋体"/>
          <w:color w:val="000000" w:themeColor="text1"/>
          <w:sz w:val="24"/>
          <w:highlight w:val="none"/>
        </w:rPr>
        <w:t xml:space="preserve">《预算管理一体化技术规范</w:t>
      </w:r>
      <w:r>
        <w:rPr>
          <w:rFonts w:hint="eastAsia" w:ascii="宋体" w:hAnsi="宋体"/>
          <w:color w:val="000000" w:themeColor="text1"/>
          <w:sz w:val="24"/>
          <w:highlight w:val="none"/>
        </w:rPr>
        <w:t xml:space="preserve">2.0</w:t>
      </w:r>
      <w:r>
        <w:rPr>
          <w:rFonts w:ascii="宋体" w:hAnsi="宋体"/>
          <w:color w:val="000000" w:themeColor="text1"/>
          <w:sz w:val="24"/>
          <w:highlight w:val="none"/>
        </w:rPr>
        <w:t xml:space="preserve">》的理解和掌握。</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2项全部方案的，得6分；方案较完整，科学合理性较强，设计较清晰详细，能够符合本项目需求，能够提供上述1-2项方案的，得4分；方案完整性、科学合理性、设计的清晰详细程度等只能基本满足要求，能够提供上述1-2项方案的，得2分；无方案的，不得分。</w:t>
      </w:r>
      <w:r>
        <w:rPr>
          <w:color w:val="000000" w:themeColor="text1"/>
          <w:highlight w:val="none"/>
        </w:rP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4.5.2 </w:t>
      </w:r>
      <w:r>
        <w:rPr>
          <w:rFonts w:ascii="宋体" w:hAnsi="宋体"/>
          <w:color w:val="000000" w:themeColor="text1"/>
          <w:sz w:val="24"/>
          <w:highlight w:val="none"/>
        </w:rPr>
        <w:t xml:space="preserve">对</w:t>
      </w:r>
      <w:r>
        <w:rPr>
          <w:rFonts w:hint="eastAsia" w:ascii="宋体" w:hAnsi="宋体"/>
          <w:color w:val="000000" w:themeColor="text1"/>
          <w:sz w:val="24"/>
          <w:highlight w:val="none"/>
        </w:rPr>
        <w:t xml:space="preserve">省预算管理一体化系统</w:t>
      </w:r>
      <w:r>
        <w:rPr>
          <w:rFonts w:ascii="宋体" w:hAnsi="宋体"/>
          <w:color w:val="000000" w:themeColor="text1"/>
          <w:sz w:val="24"/>
          <w:highlight w:val="none"/>
        </w:rPr>
        <w:t xml:space="preserve">的</w:t>
      </w:r>
      <w:r>
        <w:rPr>
          <w:rFonts w:hint="eastAsia" w:ascii="宋体" w:hAnsi="宋体"/>
          <w:color w:val="000000" w:themeColor="text1"/>
          <w:sz w:val="24"/>
          <w:highlight w:val="none"/>
        </w:rPr>
        <w:t xml:space="preserve">把握</w:t>
      </w:r>
      <w:r>
        <w:rPr>
          <w:rFonts w:ascii="宋体" w:hAnsi="宋体"/>
          <w:color w:val="000000" w:themeColor="text1"/>
          <w:sz w:val="24"/>
          <w:highlight w:val="none"/>
        </w:rPr>
        <w:t xml:space="preserve">理解（</w:t>
      </w: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分）</w:t>
      </w:r>
      <w:r>
        <w:rPr>
          <w:rFonts w:hint="eastAsia" w:ascii="宋体" w:hAnsi="宋体"/>
          <w:color w:val="000000" w:themeColor="text1"/>
          <w:sz w:val="24"/>
          <w:highlight w:val="none"/>
        </w:rPr>
        <w:t xml:space="preserve">:考察</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对</w:t>
      </w:r>
      <w:r>
        <w:rPr>
          <w:rFonts w:ascii="宋体" w:hAnsi="宋体"/>
          <w:color w:val="000000" w:themeColor="text1"/>
          <w:sz w:val="24"/>
          <w:highlight w:val="none"/>
        </w:rPr>
        <w:t xml:space="preserve">省预算管理一体化系统现有功能模块</w:t>
      </w:r>
      <w:r>
        <w:rPr>
          <w:rFonts w:hint="eastAsia" w:ascii="宋体" w:hAnsi="宋体"/>
          <w:color w:val="000000" w:themeColor="text1"/>
          <w:sz w:val="24"/>
          <w:highlight w:val="none"/>
        </w:rPr>
        <w:t xml:space="preserve">的理解和掌握，包括</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预算编制板块；</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预算执行板块；</w:t>
      </w:r>
      <w:r>
        <w:rPr>
          <w:rFonts w:hint="eastAsia" w:ascii="汉仪书宋二S" w:hAnsi="汉仪书宋二S" w:eastAsia="汉仪书宋二S" w:cs="汉仪书宋二S"/>
          <w:color w:val="000000" w:themeColor="text1"/>
          <w:sz w:val="24"/>
          <w:highlight w:val="none"/>
        </w:rPr>
        <w:t xml:space="preserve">③</w:t>
      </w:r>
      <w:r>
        <w:rPr>
          <w:rFonts w:hint="eastAsia" w:ascii="宋体" w:hAnsi="宋体"/>
          <w:color w:val="000000" w:themeColor="text1"/>
          <w:sz w:val="24"/>
          <w:highlight w:val="none"/>
        </w:rPr>
        <w:t xml:space="preserve">单位核算板块</w:t>
      </w:r>
      <w:r>
        <w:rPr>
          <w:rFonts w:ascii="宋体" w:hAnsi="宋体"/>
          <w:color w:val="000000" w:themeColor="text1"/>
          <w:sz w:val="24"/>
          <w:highlight w:val="none"/>
        </w:rPr>
        <w:t xml:space="preserve">。</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3项全部方案的，得6分；方案较完整，科学合理性较强，设计较清晰详细，能够符合本项目需求，能够提供上述2-3项方案的，得4分；方案完整性、科学合理性、设计的清晰详细程度等只能基本满足要求，能够提供上述1-3项方案的，得2分；无方案的，不得分。</w:t>
      </w:r>
      <w:r>
        <w:rPr>
          <w:color w:val="000000" w:themeColor="text1"/>
          <w:highlight w:val="none"/>
        </w:rP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4.5.3 </w:t>
      </w:r>
      <w:r>
        <w:rPr>
          <w:rFonts w:ascii="宋体" w:hAnsi="宋体"/>
          <w:color w:val="000000" w:themeColor="text1"/>
          <w:sz w:val="24"/>
          <w:highlight w:val="none"/>
        </w:rPr>
        <w:t xml:space="preserve">对采购人的实际业务需求在省预算管理一体化系统中准确落地的</w:t>
      </w:r>
      <w:r>
        <w:rPr>
          <w:rFonts w:hint="eastAsia" w:ascii="宋体" w:hAnsi="宋体"/>
          <w:color w:val="000000" w:themeColor="text1"/>
          <w:sz w:val="24"/>
          <w:highlight w:val="none"/>
        </w:rPr>
        <w:t xml:space="preserve">把握</w:t>
      </w:r>
      <w:r>
        <w:rPr>
          <w:rFonts w:ascii="宋体" w:hAnsi="宋体"/>
          <w:color w:val="000000" w:themeColor="text1"/>
          <w:sz w:val="24"/>
          <w:highlight w:val="none"/>
        </w:rPr>
        <w:t xml:space="preserve">理解（</w:t>
      </w: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分）</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针对省预算管理一体化系统现有功能完善及未来的业务拓围功能，充分理解采购人的实际业务需求，</w:t>
      </w:r>
      <w:r>
        <w:rPr>
          <w:rFonts w:hint="eastAsia" w:ascii="宋体" w:hAnsi="宋体"/>
          <w:color w:val="000000" w:themeColor="text1"/>
          <w:sz w:val="24"/>
          <w:highlight w:val="none"/>
        </w:rPr>
        <w:t xml:space="preserve">考察投标人</w:t>
      </w:r>
      <w:r>
        <w:rPr>
          <w:rFonts w:ascii="宋体" w:hAnsi="宋体"/>
          <w:color w:val="000000" w:themeColor="text1"/>
          <w:sz w:val="24"/>
          <w:highlight w:val="none"/>
        </w:rPr>
        <w:t xml:space="preserve">如何在省预算管理一体化系统中将采购人的实际业务需求完整、准确地部署到位、落地应用，考察完整性、合理性、可行性</w:t>
      </w:r>
      <w:r>
        <w:rPr>
          <w:rFonts w:hint="eastAsia" w:ascii="宋体" w:hAnsi="宋体"/>
          <w:color w:val="000000" w:themeColor="text1"/>
          <w:sz w:val="24"/>
          <w:highlight w:val="none"/>
        </w:rPr>
        <w:t xml:space="preserve">，包括</w:t>
      </w:r>
      <w:r>
        <w:rPr>
          <w:rFonts w:hint="eastAsia" w:ascii="汉仪书宋二S" w:hAnsi="汉仪书宋二S" w:eastAsia="汉仪书宋二S" w:cs="汉仪书宋二S"/>
          <w:color w:val="000000" w:themeColor="text1"/>
          <w:sz w:val="24"/>
          <w:highlight w:val="none"/>
        </w:rPr>
        <w:t xml:space="preserve">①</w:t>
      </w:r>
      <w:r>
        <w:rPr>
          <w:rFonts w:hint="eastAsia" w:ascii="宋体" w:hAnsi="宋体"/>
          <w:color w:val="000000" w:themeColor="text1"/>
          <w:sz w:val="24"/>
          <w:highlight w:val="none"/>
        </w:rPr>
        <w:t xml:space="preserve">预算编制板块；</w:t>
      </w:r>
      <w:r>
        <w:rPr>
          <w:rFonts w:hint="eastAsia" w:ascii="汉仪书宋二S" w:hAnsi="汉仪书宋二S" w:eastAsia="汉仪书宋二S" w:cs="汉仪书宋二S"/>
          <w:color w:val="000000" w:themeColor="text1"/>
          <w:sz w:val="24"/>
          <w:highlight w:val="none"/>
        </w:rPr>
        <w:t xml:space="preserve">②</w:t>
      </w:r>
      <w:r>
        <w:rPr>
          <w:rFonts w:hint="eastAsia" w:ascii="宋体" w:hAnsi="宋体"/>
          <w:color w:val="000000" w:themeColor="text1"/>
          <w:sz w:val="24"/>
          <w:highlight w:val="none"/>
        </w:rPr>
        <w:t xml:space="preserve">预算执行板块；</w:t>
      </w:r>
      <w:r>
        <w:rPr>
          <w:rFonts w:hint="eastAsia" w:ascii="汉仪书宋二S" w:hAnsi="汉仪书宋二S" w:eastAsia="汉仪书宋二S" w:cs="汉仪书宋二S"/>
          <w:color w:val="000000" w:themeColor="text1"/>
          <w:sz w:val="24"/>
          <w:highlight w:val="none"/>
        </w:rPr>
        <w:t xml:space="preserve">③</w:t>
      </w:r>
      <w:r>
        <w:rPr>
          <w:rFonts w:hint="eastAsia" w:ascii="宋体" w:hAnsi="宋体"/>
          <w:color w:val="000000" w:themeColor="text1"/>
          <w:sz w:val="24"/>
          <w:highlight w:val="none"/>
        </w:rPr>
        <w:t xml:space="preserve">单位核算板块；</w:t>
      </w:r>
      <w:r>
        <w:rPr>
          <w:rFonts w:hint="eastAsia" w:ascii="汉仪书宋二S" w:hAnsi="汉仪书宋二S" w:eastAsia="汉仪书宋二S" w:cs="汉仪书宋二S"/>
          <w:color w:val="000000" w:themeColor="text1"/>
          <w:sz w:val="24"/>
          <w:highlight w:val="none"/>
        </w:rPr>
        <w:t xml:space="preserve">④</w:t>
      </w:r>
      <w:r>
        <w:rPr>
          <w:rFonts w:hint="eastAsia" w:ascii="宋体" w:hAnsi="宋体"/>
          <w:color w:val="000000" w:themeColor="text1"/>
          <w:sz w:val="24"/>
          <w:highlight w:val="none"/>
        </w:rPr>
        <w:t xml:space="preserve">未来业务</w:t>
      </w:r>
      <w:r>
        <w:rPr>
          <w:rFonts w:ascii="宋体" w:hAnsi="宋体"/>
          <w:color w:val="000000" w:themeColor="text1"/>
          <w:sz w:val="24"/>
          <w:highlight w:val="none"/>
        </w:rPr>
        <w:t xml:space="preserve">拓围功能。</w:t>
      </w:r>
      <w:r>
        <w:rPr>
          <w:color w:val="000000" w:themeColor="text1"/>
          <w:highlight w:val="none"/>
        </w:rPr>
      </w:r>
    </w:p>
    <w:p>
      <w:pPr>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4项全部方案的，得6分；方案较完整，科学合理性较强，设计较清晰详细，能够符合本项目需求，能够提供上述2-4项方案的，得4分；方案完整性、科学合理性、设计的清晰详细程度等只能基本满足要求，能够提供上述1-4项方案的，得2分；无方案的，不得分。</w:t>
      </w:r>
      <w:r>
        <w:rPr>
          <w:color w:val="000000" w:themeColor="text1"/>
          <w:highlight w:val="none"/>
        </w:rPr>
      </w:r>
    </w:p>
    <w:p>
      <w:pPr>
        <w:ind w:firstLine="480"/>
        <w:jc w:val="center"/>
        <w:spacing w:line="500" w:lineRule="exact"/>
        <w:rPr>
          <w:rFonts w:hint="eastAsia" w:ascii="黑体" w:hAnsi="黑体" w:eastAsia="黑体"/>
          <w:color w:val="000000" w:themeColor="text1"/>
          <w:sz w:val="36"/>
          <w:szCs w:val="36"/>
          <w:highlight w:val="none"/>
        </w:rPr>
      </w:pPr>
      <w:r>
        <w:rPr>
          <w:rFonts w:hint="eastAsia"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5"/>
      <w:r>
        <w:rPr>
          <w:rFonts w:hint="eastAsia" w:ascii="黑体" w:hAnsi="黑体" w:eastAsia="黑体"/>
          <w:color w:val="000000" w:themeColor="text1"/>
          <w:sz w:val="36"/>
          <w:szCs w:val="36"/>
          <w:highlight w:val="none"/>
        </w:rPr>
        <w:t xml:space="preserve">投标文件内容与格式</w:t>
      </w:r>
      <w:r>
        <w:rPr>
          <w:color w:val="000000" w:themeColor="text1"/>
          <w:highlight w:val="none"/>
        </w:rPr>
      </w:r>
    </w:p>
    <w:p>
      <w:pPr>
        <w:pStyle w:val="938"/>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6" w:name="_Hlt26671244"/>
      <w:r>
        <w:rPr>
          <w:color w:val="000000" w:themeColor="text1"/>
          <w:highlight w:val="none"/>
        </w:rPr>
      </w:r>
      <w:bookmarkEnd w:id="196"/>
      <w:r>
        <w:rPr>
          <w:color w:val="000000" w:themeColor="text1"/>
          <w:highlight w:val="none"/>
        </w:rPr>
      </w:r>
      <w:bookmarkStart w:id="197" w:name="_Hlt26955039"/>
      <w:r>
        <w:rPr>
          <w:color w:val="000000" w:themeColor="text1"/>
          <w:highlight w:val="none"/>
        </w:rPr>
      </w:r>
      <w:bookmarkEnd w:id="197"/>
      <w:r>
        <w:rPr>
          <w:color w:val="000000" w:themeColor="text1"/>
          <w:highlight w:val="none"/>
        </w:rPr>
      </w:r>
      <w:bookmarkStart w:id="198" w:name="_Toc26554094"/>
      <w:r>
        <w:rPr>
          <w:color w:val="000000" w:themeColor="text1"/>
          <w:highlight w:val="none"/>
        </w:rPr>
      </w:r>
      <w:bookmarkStart w:id="199" w:name="_Toc120614282"/>
      <w:r>
        <w:rPr>
          <w:color w:val="000000" w:themeColor="text1"/>
          <w:highlight w:val="none"/>
        </w:rPr>
      </w:r>
      <w:bookmarkStart w:id="200" w:name="_Toc49090576"/>
      <w:r>
        <w:rPr>
          <w:rFonts w:hint="eastAsia" w:cs="Arial"/>
          <w:b/>
          <w:color w:val="000000" w:themeColor="text1"/>
          <w:sz w:val="30"/>
          <w:szCs w:val="30"/>
          <w:highlight w:val="none"/>
        </w:rPr>
        <w:t xml:space="preserve">第一部分  投标文件内容</w:t>
      </w:r>
      <w:r>
        <w:rPr>
          <w:color w:val="000000" w:themeColor="text1"/>
          <w:highlight w:val="none"/>
        </w:rPr>
      </w:r>
    </w:p>
    <w:p>
      <w:pPr>
        <w:pStyle w:val="938"/>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color w:val="000000" w:themeColor="text1"/>
          <w:highlight w:val="none"/>
        </w:rPr>
      </w:r>
    </w:p>
    <w:tbl>
      <w:tblPr>
        <w:tblStyle w:val="67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8"/>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p>
        </w:tc>
        <w:tc>
          <w:tcPr>
            <w:tcW w:w="6104" w:type="dxa"/>
            <w:vAlign w:val="center"/>
            <w:textDirection w:val="lrTb"/>
            <w:noWrap w:val="false"/>
          </w:tcPr>
          <w:p>
            <w:pPr>
              <w:pStyle w:val="938"/>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p>
        </w:tc>
        <w:tc>
          <w:tcPr>
            <w:tcW w:w="2449" w:type="dxa"/>
            <w:vAlign w:val="center"/>
            <w:textDirection w:val="lrTb"/>
            <w:noWrap w:val="false"/>
          </w:tcPr>
          <w:p>
            <w:pPr>
              <w:pStyle w:val="938"/>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p>
        </w:tc>
      </w:tr>
      <w:tr>
        <w:trPr>
          <w:jc w:val="center"/>
          <w:trHeight w:val="1335"/>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color w:val="000000" w:themeColor="text1"/>
                <w:highlight w:val="none"/>
              </w:rPr>
            </w:r>
          </w:p>
        </w:tc>
        <w:tc>
          <w:tcPr>
            <w:tcW w:w="2449" w:type="dxa"/>
            <w:vAlign w:val="center"/>
            <w:vMerge w:val="restart"/>
            <w:textDirection w:val="lrTb"/>
            <w:noWrap w:val="false"/>
          </w:tcPr>
          <w:p>
            <w:pPr>
              <w:pStyle w:val="938"/>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p>
        </w:tc>
      </w:tr>
      <w:tr>
        <w:trPr>
          <w:jc w:val="center"/>
          <w:trHeight w:val="812"/>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color w:val="000000" w:themeColor="text1"/>
                <w:highlight w:val="none"/>
              </w:rP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7"/>
                <w:rFonts w:hint="eastAsia" w:ascii="宋体" w:hAnsi="宋体" w:cs="宋体"/>
                <w:color w:val="000000" w:themeColor="text1"/>
                <w:sz w:val="24"/>
                <w:szCs w:val="24"/>
                <w:highlight w:val="none"/>
              </w:rPr>
              <w:t xml:space="preserve">。</w:t>
            </w:r>
            <w:r>
              <w:rPr>
                <w:color w:val="000000" w:themeColor="text1"/>
                <w:highlight w:val="none"/>
              </w:rP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color w:val="000000" w:themeColor="text1"/>
                <w:highlight w:val="none"/>
              </w:rP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color w:val="000000" w:themeColor="text1"/>
                <w:highlight w:val="none"/>
              </w:rP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p>
        </w:tc>
        <w:tc>
          <w:tcPr>
            <w:tcW w:w="6104" w:type="dxa"/>
            <w:vAlign w:val="center"/>
            <w:textDirection w:val="lrTb"/>
            <w:noWrap w:val="false"/>
          </w:tcPr>
          <w:p>
            <w:pPr>
              <w:pStyle w:val="938"/>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color w:val="000000" w:themeColor="text1"/>
                <w:highlight w:val="none"/>
              </w:rPr>
            </w:r>
          </w:p>
        </w:tc>
        <w:tc>
          <w:tcPr>
            <w:tcW w:w="2449" w:type="dxa"/>
            <w:vAlign w:val="center"/>
            <w:vMerge w:val="continue"/>
            <w:textDirection w:val="lrTb"/>
            <w:noWrap w:val="false"/>
          </w:tcPr>
          <w:p>
            <w:pPr>
              <w:pStyle w:val="938"/>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38"/>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p>
        </w:tc>
        <w:tc>
          <w:tcPr>
            <w:tcW w:w="6104" w:type="dxa"/>
            <w:vAlign w:val="center"/>
            <w:textDirection w:val="lrTb"/>
            <w:noWrap w:val="false"/>
          </w:tcPr>
          <w:p>
            <w:pPr>
              <w:pStyle w:val="938"/>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color w:val="000000" w:themeColor="text1"/>
                <w:highlight w:val="none"/>
              </w:rPr>
            </w:r>
          </w:p>
        </w:tc>
        <w:tc>
          <w:tcPr>
            <w:tcW w:w="2449" w:type="dxa"/>
            <w:vAlign w:val="center"/>
            <w:textDirection w:val="lrTb"/>
            <w:noWrap w:val="false"/>
          </w:tcPr>
          <w:p>
            <w:pPr>
              <w:pStyle w:val="938"/>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color w:val="000000" w:themeColor="text1"/>
                <w:highlight w:val="none"/>
              </w:rPr>
            </w:r>
          </w:p>
        </w:tc>
      </w:tr>
      <w:tr>
        <w:trPr>
          <w:jc w:val="center"/>
          <w:trHeight w:val="726"/>
        </w:trPr>
        <w:tc>
          <w:tcPr>
            <w:tcW w:w="719" w:type="dxa"/>
            <w:vAlign w:val="center"/>
            <w:textDirection w:val="lrTb"/>
            <w:noWrap w:val="false"/>
          </w:tcPr>
          <w:p>
            <w:pPr>
              <w:pStyle w:val="938"/>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color w:val="000000" w:themeColor="text1"/>
                <w:highlight w:val="none"/>
              </w:rPr>
            </w:r>
          </w:p>
        </w:tc>
        <w:tc>
          <w:tcPr>
            <w:tcW w:w="6104" w:type="dxa"/>
            <w:vAlign w:val="center"/>
            <w:textDirection w:val="lrTb"/>
            <w:noWrap w:val="false"/>
          </w:tcPr>
          <w:p>
            <w:pPr>
              <w:pStyle w:val="938"/>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color w:val="000000" w:themeColor="text1"/>
                <w:highlight w:val="none"/>
              </w:rPr>
            </w:r>
          </w:p>
        </w:tc>
        <w:tc>
          <w:tcPr>
            <w:tcW w:w="2449" w:type="dxa"/>
            <w:vAlign w:val="center"/>
            <w:textDirection w:val="lrTb"/>
            <w:noWrap w:val="false"/>
          </w:tcPr>
          <w:p>
            <w:pPr>
              <w:pStyle w:val="938"/>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color w:val="000000" w:themeColor="text1"/>
                <w:highlight w:val="none"/>
              </w:rPr>
            </w:r>
          </w:p>
        </w:tc>
      </w:tr>
      <w:tr>
        <w:trPr>
          <w:jc w:val="center"/>
          <w:trHeight w:val="632"/>
        </w:trPr>
        <w:tc>
          <w:tcPr>
            <w:tcW w:w="719" w:type="dxa"/>
            <w:vAlign w:val="center"/>
            <w:textDirection w:val="lrTb"/>
            <w:noWrap w:val="false"/>
          </w:tcPr>
          <w:p>
            <w:pPr>
              <w:pStyle w:val="938"/>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p>
        </w:tc>
        <w:tc>
          <w:tcPr>
            <w:gridSpan w:val="2"/>
            <w:tcW w:w="8553" w:type="dxa"/>
            <w:vAlign w:val="center"/>
            <w:textDirection w:val="lrTb"/>
            <w:noWrap w:val="false"/>
          </w:tcPr>
          <w:p>
            <w:pPr>
              <w:pStyle w:val="938"/>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color w:val="000000" w:themeColor="text1"/>
                <w:highlight w:val="none"/>
              </w:rP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p>
    <w:p>
      <w:pPr>
        <w:numPr>
          <w:ilvl w:val="0"/>
          <w:numId w:val="9"/>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p>
    <w:p>
      <w:pPr>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color w:val="000000" w:themeColor="text1"/>
          <w:highlight w:val="none"/>
        </w:rPr>
      </w:r>
    </w:p>
    <w:p>
      <w:pPr>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color w:val="000000" w:themeColor="text1"/>
          <w:highlight w:val="none"/>
        </w:rPr>
      </w:r>
    </w:p>
    <w:p>
      <w:pPr>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000000" w:themeColor="text1"/>
          <w:highlight w:val="none"/>
        </w:rP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color w:val="000000" w:themeColor="text1"/>
          <w:highlight w:val="none"/>
        </w:rPr>
      </w:r>
    </w:p>
    <w:p>
      <w:pPr>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color w:val="000000" w:themeColor="text1"/>
          <w:highlight w:val="none"/>
        </w:rP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rPr>
          <w:color w:val="000000" w:themeColor="text1"/>
          <w:highlight w:val="none"/>
        </w:rP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8"/>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color w:val="000000" w:themeColor="text1"/>
                <w:highlight w:val="none"/>
              </w:rPr>
            </w:r>
          </w:p>
        </w:tc>
        <w:tc>
          <w:tcPr>
            <w:tcW w:w="6095" w:type="dxa"/>
            <w:vAlign w:val="center"/>
            <w:textDirection w:val="lrTb"/>
            <w:noWrap w:val="false"/>
          </w:tcPr>
          <w:p>
            <w:pPr>
              <w:pStyle w:val="938"/>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p>
        </w:tc>
        <w:tc>
          <w:tcPr>
            <w:tcW w:w="1979" w:type="dxa"/>
            <w:vAlign w:val="center"/>
            <w:textDirection w:val="lrTb"/>
            <w:noWrap w:val="false"/>
          </w:tcPr>
          <w:p>
            <w:pPr>
              <w:pStyle w:val="938"/>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color w:val="000000" w:themeColor="text1"/>
                <w:highlight w:val="none"/>
              </w:rPr>
            </w:r>
          </w:p>
        </w:tc>
      </w:tr>
      <w:tr>
        <w:trPr>
          <w:jc w:val="center"/>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color w:val="000000" w:themeColor="text1"/>
                <w:highlight w:val="none"/>
              </w:rPr>
            </w:r>
          </w:p>
        </w:tc>
        <w:tc>
          <w:tcPr>
            <w:tcW w:w="6095" w:type="dxa"/>
            <w:vAlign w:val="center"/>
            <w:textDirection w:val="lrTb"/>
            <w:noWrap w:val="false"/>
          </w:tcPr>
          <w:p>
            <w:pPr>
              <w:pStyle w:val="938"/>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color w:val="000000" w:themeColor="text1"/>
                <w:highlight w:val="none"/>
              </w:rPr>
            </w:r>
          </w:p>
        </w:tc>
        <w:tc>
          <w:tcPr>
            <w:tcW w:w="1979" w:type="dxa"/>
            <w:vAlign w:val="center"/>
            <w:vMerge w:val="restart"/>
            <w:textDirection w:val="lrTb"/>
            <w:noWrap w:val="false"/>
          </w:tcPr>
          <w:p>
            <w:pPr>
              <w:pStyle w:val="938"/>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color w:val="000000" w:themeColor="text1"/>
                <w:highlight w:val="none"/>
              </w:rPr>
            </w:r>
          </w:p>
        </w:tc>
      </w:tr>
      <w:tr>
        <w:trPr>
          <w:jc w:val="center"/>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color w:val="000000" w:themeColor="text1"/>
                <w:highlight w:val="none"/>
              </w:rPr>
            </w:r>
          </w:p>
        </w:tc>
        <w:tc>
          <w:tcPr>
            <w:tcW w:w="6095" w:type="dxa"/>
            <w:vAlign w:val="center"/>
            <w:textDirection w:val="lrTb"/>
            <w:noWrap w:val="false"/>
          </w:tcPr>
          <w:p>
            <w:pPr>
              <w:pStyle w:val="938"/>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color w:val="000000" w:themeColor="text1"/>
                <w:highlight w:val="none"/>
              </w:rPr>
            </w:r>
          </w:p>
        </w:tc>
        <w:tc>
          <w:tcPr>
            <w:tcW w:w="1979" w:type="dxa"/>
            <w:vAlign w:val="center"/>
            <w:vMerge w:val="continue"/>
            <w:textDirection w:val="lrTb"/>
            <w:noWrap w:val="false"/>
          </w:tcPr>
          <w:p>
            <w:pPr>
              <w:pStyle w:val="93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p>
        </w:tc>
        <w:tc>
          <w:tcPr>
            <w:tcW w:w="6095" w:type="dxa"/>
            <w:vAlign w:val="center"/>
            <w:textDirection w:val="lrTb"/>
            <w:noWrap w:val="false"/>
          </w:tcPr>
          <w:p>
            <w:pPr>
              <w:pStyle w:val="938"/>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color w:val="000000" w:themeColor="text1"/>
                <w:highlight w:val="none"/>
              </w:rPr>
            </w:r>
          </w:p>
        </w:tc>
        <w:tc>
          <w:tcPr>
            <w:tcW w:w="1979" w:type="dxa"/>
            <w:vAlign w:val="center"/>
            <w:vMerge w:val="restart"/>
            <w:textDirection w:val="lrTb"/>
            <w:noWrap w:val="false"/>
          </w:tcPr>
          <w:p>
            <w:pPr>
              <w:pStyle w:val="938"/>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color w:val="000000" w:themeColor="text1"/>
                <w:highlight w:val="none"/>
              </w:rPr>
            </w:r>
          </w:p>
        </w:tc>
      </w:tr>
      <w:tr>
        <w:trPr>
          <w:jc w:val="center"/>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p>
        </w:tc>
        <w:tc>
          <w:tcPr>
            <w:tcW w:w="6095" w:type="dxa"/>
            <w:vAlign w:val="center"/>
            <w:textDirection w:val="lrTb"/>
            <w:noWrap w:val="false"/>
          </w:tcPr>
          <w:p>
            <w:pPr>
              <w:pStyle w:val="938"/>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color w:val="000000" w:themeColor="text1"/>
                <w:highlight w:val="none"/>
              </w:rPr>
            </w:r>
          </w:p>
        </w:tc>
        <w:tc>
          <w:tcPr>
            <w:tcW w:w="1979" w:type="dxa"/>
            <w:vAlign w:val="center"/>
            <w:vMerge w:val="continue"/>
            <w:textDirection w:val="lrTb"/>
            <w:noWrap w:val="false"/>
          </w:tcPr>
          <w:p>
            <w:pPr>
              <w:pStyle w:val="93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p>
        </w:tc>
        <w:tc>
          <w:tcPr>
            <w:tcW w:w="6095" w:type="dxa"/>
            <w:vAlign w:val="center"/>
            <w:textDirection w:val="lrTb"/>
            <w:noWrap w:val="false"/>
          </w:tcPr>
          <w:p>
            <w:pPr>
              <w:pStyle w:val="938"/>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color w:val="000000" w:themeColor="text1"/>
                <w:highlight w:val="none"/>
              </w:rPr>
            </w:r>
          </w:p>
        </w:tc>
        <w:tc>
          <w:tcPr>
            <w:tcW w:w="1979" w:type="dxa"/>
            <w:vAlign w:val="center"/>
            <w:vMerge w:val="restart"/>
            <w:textDirection w:val="lrTb"/>
            <w:noWrap w:val="false"/>
          </w:tcPr>
          <w:p>
            <w:pPr>
              <w:pStyle w:val="938"/>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color w:val="000000" w:themeColor="text1"/>
                <w:highlight w:val="none"/>
              </w:rPr>
            </w:r>
          </w:p>
        </w:tc>
      </w:tr>
      <w:tr>
        <w:trPr>
          <w:jc w:val="center"/>
          <w:trHeight w:val="567"/>
        </w:trPr>
        <w:tc>
          <w:tcPr>
            <w:tcW w:w="823" w:type="dxa"/>
            <w:vAlign w:val="center"/>
            <w:textDirection w:val="lrTb"/>
            <w:noWrap w:val="false"/>
          </w:tcPr>
          <w:p>
            <w:pPr>
              <w:pStyle w:val="938"/>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p>
        </w:tc>
        <w:tc>
          <w:tcPr>
            <w:tcW w:w="6095" w:type="dxa"/>
            <w:vAlign w:val="center"/>
            <w:textDirection w:val="lrTb"/>
            <w:noWrap w:val="false"/>
          </w:tcPr>
          <w:p>
            <w:pPr>
              <w:pStyle w:val="938"/>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color w:val="000000" w:themeColor="text1"/>
                <w:highlight w:val="none"/>
              </w:rPr>
            </w:r>
          </w:p>
        </w:tc>
        <w:tc>
          <w:tcPr>
            <w:tcW w:w="1979" w:type="dxa"/>
            <w:vAlign w:val="center"/>
            <w:vMerge w:val="continue"/>
            <w:textDirection w:val="lrTb"/>
            <w:noWrap w:val="false"/>
          </w:tcPr>
          <w:p>
            <w:pPr>
              <w:pStyle w:val="938"/>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color w:val="000000" w:themeColor="text1"/>
          <w:highlight w:val="none"/>
        </w:rP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color w:val="000000" w:themeColor="text1"/>
          <w:highlight w:val="none"/>
        </w:rPr>
      </w:r>
    </w:p>
    <w:p>
      <w:pPr>
        <w:numPr>
          <w:ilvl w:val="0"/>
          <w:numId w:val="10"/>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color w:val="000000" w:themeColor="text1"/>
          <w:highlight w:val="none"/>
        </w:rPr>
      </w:r>
    </w:p>
    <w:p>
      <w:pPr>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color w:val="000000" w:themeColor="text1"/>
          <w:highlight w:val="none"/>
        </w:rP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color w:val="000000" w:themeColor="text1"/>
          <w:highlight w:val="none"/>
        </w:rP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color w:val="000000" w:themeColor="text1"/>
          <w:highlight w:val="none"/>
        </w:rPr>
      </w:r>
    </w:p>
    <w:p>
      <w:pPr>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color w:val="000000" w:themeColor="text1"/>
          <w:highlight w:val="none"/>
        </w:rPr>
      </w:r>
    </w:p>
    <w:p>
      <w:pPr>
        <w:pStyle w:val="938"/>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color w:val="000000" w:themeColor="text1"/>
          <w:highlight w:val="none"/>
        </w:rP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color w:val="000000" w:themeColor="text1"/>
          <w:highlight w:val="none"/>
        </w:rP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JSZC-320200-JZCG-G2026-0028</w:t>
      </w:r>
      <w:r>
        <w:rPr>
          <w:color w:val="000000" w:themeColor="text1"/>
          <w:highlight w:val="none"/>
        </w:rP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项目名称：省预算管理一体化系统运维服务项目(2026-2027)</w:t>
      </w:r>
      <w:r>
        <w:rPr>
          <w:color w:val="000000" w:themeColor="text1"/>
          <w:highlight w:val="none"/>
        </w:rP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color w:val="000000" w:themeColor="text1"/>
          <w:highlight w:val="none"/>
        </w:rPr>
      </w:r>
    </w:p>
    <w:p>
      <w:pPr>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color w:val="000000" w:themeColor="text1"/>
          <w:highlight w:val="none"/>
        </w:rPr>
      </w:r>
    </w:p>
    <w:p>
      <w:pPr>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color w:val="000000" w:themeColor="text1"/>
          <w:highlight w:val="none"/>
        </w:rPr>
      </w:r>
    </w:p>
    <w:p>
      <w:pPr>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color w:val="000000" w:themeColor="text1"/>
          <w:highlight w:val="none"/>
        </w:rPr>
      </w:r>
    </w:p>
    <w:p>
      <w:pPr>
        <w:pStyle w:val="936"/>
        <w:ind w:firstLine="480"/>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JSZC-320200-JZCG-G2026-0028</w:t>
      </w:r>
      <w:r>
        <w:rPr>
          <w:rFonts w:hint="eastAsia" w:ascii="宋体" w:hAnsi="宋体"/>
          <w:bCs/>
          <w:color w:val="000000" w:themeColor="text1"/>
          <w:sz w:val="24"/>
          <w:szCs w:val="24"/>
          <w:highlight w:val="none"/>
        </w:rPr>
        <w:t xml:space="preserve">项目，兹授权：</w:t>
      </w:r>
      <w:r>
        <w:rPr>
          <w:color w:val="000000" w:themeColor="text1"/>
          <w:highlight w:val="none"/>
        </w:rPr>
      </w:r>
    </w:p>
    <w:p>
      <w:pPr>
        <w:pStyle w:val="936"/>
        <w:ind w:firstLine="480"/>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p>
    <w:p>
      <w:pPr>
        <w:pStyle w:val="936"/>
        <w:ind w:firstLine="480"/>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p>
    <w:p>
      <w:pPr>
        <w:pStyle w:val="936"/>
        <w:ind w:firstLine="480"/>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color w:val="000000" w:themeColor="text1"/>
          <w:highlight w:val="none"/>
        </w:rPr>
      </w:r>
    </w:p>
    <w:p>
      <w:pPr>
        <w:pStyle w:val="936"/>
        <w:ind w:firstLine="480"/>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color w:val="000000" w:themeColor="text1"/>
          <w:highlight w:val="none"/>
        </w:rPr>
      </w:r>
    </w:p>
    <w:p>
      <w:pPr>
        <w:pStyle w:val="936"/>
        <w:ind w:firstLine="480"/>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color w:val="000000" w:themeColor="text1"/>
          <w:highlight w:val="none"/>
        </w:rPr>
      </w:r>
    </w:p>
    <w:p>
      <w:pPr>
        <w:pStyle w:val="936"/>
        <w:ind w:firstLine="0"/>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color w:val="000000" w:themeColor="text1"/>
          <w:highlight w:val="none"/>
        </w:rPr>
      </w:r>
    </w:p>
    <w:p>
      <w:pPr>
        <w:pStyle w:val="936"/>
        <w:ind w:firstLine="0"/>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color w:val="000000" w:themeColor="text1"/>
          <w:highlight w:val="none"/>
        </w:rPr>
      </w:r>
    </w:p>
    <w:p>
      <w:pPr>
        <w:pStyle w:val="936"/>
        <w:ind w:firstLine="0"/>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color w:val="000000" w:themeColor="text1"/>
          <w:highlight w:val="none"/>
        </w:rPr>
      </w:r>
    </w:p>
    <w:p>
      <w:pPr>
        <w:pStyle w:val="936"/>
        <w:ind w:firstLine="0"/>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936"/>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rPr>
          <w:color w:val="000000" w:themeColor="text1"/>
          <w:highlight w:val="none"/>
        </w:rPr>
      </w:r>
    </w:p>
    <w:p>
      <w:pPr>
        <w:pStyle w:val="936"/>
        <w:numPr>
          <w:ilvl w:val="0"/>
          <w:numId w:val="11"/>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color w:val="000000" w:themeColor="text1"/>
          <w:highlight w:val="none"/>
        </w:rPr>
      </w:r>
    </w:p>
    <w:p>
      <w:pPr>
        <w:pStyle w:val="936"/>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color w:val="000000" w:themeColor="text1"/>
          <w:highlight w:val="none"/>
        </w:rPr>
      </w:r>
    </w:p>
    <w:p>
      <w:pPr>
        <w:pStyle w:val="936"/>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color w:val="000000" w:themeColor="text1"/>
          <w:highlight w:val="none"/>
        </w:rPr>
      </w:r>
    </w:p>
    <w:p>
      <w:pPr>
        <w:pStyle w:val="936"/>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color w:val="000000" w:themeColor="text1"/>
          <w:highlight w:val="none"/>
        </w:rPr>
      </w:r>
    </w:p>
    <w:p>
      <w:pPr>
        <w:pStyle w:val="936"/>
        <w:ind w:firstLine="0"/>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color w:val="000000" w:themeColor="text1"/>
          <w:highlight w:val="none"/>
        </w:rPr>
      </w:r>
    </w:p>
    <w:p>
      <w:pPr>
        <w:jc w:val="center"/>
        <w:rPr>
          <w:rFonts w:ascii="黑体" w:eastAsia="黑体"/>
          <w:bCs/>
          <w:color w:val="000000" w:themeColor="text1"/>
          <w:sz w:val="28"/>
          <w:szCs w:val="28"/>
          <w:highlight w:val="none"/>
        </w:rPr>
        <w:outlineLvl w:val="0"/>
      </w:pPr>
      <w:r>
        <w:rPr>
          <w:color w:val="000000" w:themeColor="text1"/>
          <w:highlight w:val="none"/>
        </w:rPr>
      </w:r>
      <w:bookmarkStart w:id="201" w:name="报价方关于资格的声明函（格式）"/>
      <w:r>
        <w:rPr>
          <w:color w:val="000000" w:themeColor="text1"/>
          <w:highlight w:val="none"/>
        </w:rPr>
      </w:r>
      <w:bookmarkEnd w:id="201"/>
      <w:r>
        <w:rPr>
          <w:rFonts w:hint="eastAsia" w:ascii="黑体" w:eastAsia="黑体"/>
          <w:bCs/>
          <w:color w:val="000000" w:themeColor="text1"/>
          <w:sz w:val="28"/>
          <w:szCs w:val="28"/>
          <w:highlight w:val="none"/>
        </w:rPr>
        <w:t xml:space="preserve">资格声明函</w:t>
      </w:r>
      <w:r>
        <w:rPr>
          <w:color w:val="000000" w:themeColor="text1"/>
          <w:highlight w:val="none"/>
        </w:rPr>
      </w:r>
    </w:p>
    <w:p>
      <w:pPr>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color w:val="000000" w:themeColor="text1"/>
          <w:highlight w:val="none"/>
        </w:rP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JSZC-320200-JZCG-G2026-0028</w:t>
      </w:r>
      <w:r>
        <w:rPr>
          <w:rFonts w:hint="eastAsia" w:ascii="宋体" w:hAnsi="宋体"/>
          <w:bCs/>
          <w:color w:val="000000" w:themeColor="text1"/>
          <w:sz w:val="24"/>
          <w:szCs w:val="24"/>
          <w:highlight w:val="none"/>
        </w:rPr>
        <w:t xml:space="preserve">进行投标，并作如下声明</w:t>
      </w:r>
      <w:r>
        <w:rPr>
          <w:color w:val="000000" w:themeColor="text1"/>
          <w:highlight w:val="none"/>
        </w:rP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color w:val="000000" w:themeColor="text1"/>
          <w:highlight w:val="none"/>
        </w:rP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color w:val="000000" w:themeColor="text1"/>
          <w:highlight w:val="none"/>
        </w:rP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000000" w:themeColor="text1"/>
          <w:highlight w:val="none"/>
        </w:rPr>
      </w:r>
    </w:p>
    <w:p>
      <w:pPr>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color w:val="000000" w:themeColor="text1"/>
          <w:highlight w:val="none"/>
        </w:rP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p>
    <w:p>
      <w:pPr>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rPr>
          <w:color w:val="000000" w:themeColor="text1"/>
          <w:highlight w:val="none"/>
        </w:rPr>
      </w:r>
    </w:p>
    <w:p>
      <w:pPr>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color w:val="000000" w:themeColor="text1"/>
          <w:highlight w:val="none"/>
        </w:rP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000000" w:themeColor="text1"/>
          <w:highlight w:val="none"/>
        </w:rP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color w:val="000000" w:themeColor="text1"/>
          <w:highlight w:val="none"/>
        </w:rP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p>
    <w:p>
      <w:pPr>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p>
    <w:p>
      <w:pPr>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p>
    <w:p>
      <w:pPr>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p>
    <w:p>
      <w:pPr>
        <w:spacing w:line="360" w:lineRule="auto"/>
        <w:rPr>
          <w:rFonts w:hint="eastAsia" w:ascii="宋体" w:hAnsi="宋体" w:cs="宋体"/>
          <w:b/>
          <w:color w:val="000000" w:themeColor="text1"/>
          <w:sz w:val="28"/>
          <w:szCs w:val="28"/>
          <w:highlight w:val="none"/>
        </w:rPr>
      </w:pPr>
      <w:r>
        <w:rPr>
          <w:rFonts w:hint="eastAsia"/>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color w:val="000000" w:themeColor="text1"/>
          <w:highlight w:val="none"/>
        </w:rPr>
      </w:r>
    </w:p>
    <w:p>
      <w:pPr>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color w:val="000000" w:themeColor="text1"/>
          <w:highlight w:val="none"/>
        </w:rPr>
      </w:r>
    </w:p>
    <w:p>
      <w:pPr>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p>
    <w:p>
      <w:pPr>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color w:val="000000" w:themeColor="text1"/>
          <w:highlight w:val="none"/>
        </w:rPr>
      </w:r>
    </w:p>
    <w:p>
      <w:pPr>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JSZC-320200-JZCG-G2026-0028</w:t>
      </w:r>
      <w:r>
        <w:rPr>
          <w:rFonts w:hint="eastAsia" w:ascii="宋体" w:hAnsi="宋体"/>
          <w:bCs/>
          <w:color w:val="000000" w:themeColor="text1"/>
          <w:sz w:val="24"/>
          <w:szCs w:val="24"/>
          <w:highlight w:val="none"/>
        </w:rPr>
        <w:t xml:space="preserve">招标文件，经仔细阅读和研究，我方决定参加此项目的投标。</w:t>
      </w:r>
      <w:r>
        <w:rPr>
          <w:color w:val="000000" w:themeColor="text1"/>
          <w:highlight w:val="none"/>
        </w:rPr>
      </w:r>
    </w:p>
    <w:p>
      <w:pPr>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p>
    <w:p>
      <w:pPr>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5"/>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color w:val="000000" w:themeColor="text1"/>
          <w:highlight w:val="none"/>
        </w:rP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color w:val="000000" w:themeColor="text1"/>
          <w:highlight w:val="none"/>
        </w:rP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color w:val="000000" w:themeColor="text1"/>
          <w:highlight w:val="none"/>
        </w:rP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color w:val="000000" w:themeColor="text1"/>
          <w:highlight w:val="none"/>
        </w:rP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color w:val="000000" w:themeColor="text1"/>
          <w:highlight w:val="none"/>
        </w:rP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color w:val="000000" w:themeColor="text1"/>
          <w:highlight w:val="none"/>
        </w:rP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p>
    <w:p>
      <w:pPr>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p>
    <w:p>
      <w:pPr>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color w:val="000000" w:themeColor="text1"/>
          <w:highlight w:val="none"/>
        </w:rPr>
      </w:r>
    </w:p>
    <w:p>
      <w:pPr>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color w:val="000000" w:themeColor="text1"/>
          <w:highlight w:val="none"/>
        </w:rPr>
      </w:r>
    </w:p>
    <w:p>
      <w:pPr>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p>
    <w:p>
      <w:pPr>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color w:val="000000" w:themeColor="text1"/>
          <w:highlight w:val="none"/>
        </w:rPr>
      </w:r>
    </w:p>
    <w:p>
      <w:pPr>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p>
    <w:p>
      <w:pPr>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JSZC-320200-JZCG-G2026-0028</w:t>
      </w:r>
      <w:r>
        <w:rPr>
          <w:rFonts w:hint="eastAsia" w:ascii="宋体" w:hAnsi="宋体"/>
          <w:color w:val="000000" w:themeColor="text1"/>
          <w:sz w:val="24"/>
          <w:szCs w:val="24"/>
          <w:highlight w:val="none"/>
        </w:rPr>
        <w:t xml:space="preserve">在此承诺：</w:t>
      </w:r>
      <w:r>
        <w:rPr>
          <w:color w:val="000000" w:themeColor="text1"/>
          <w:highlight w:val="none"/>
        </w:rPr>
      </w:r>
    </w:p>
    <w:p>
      <w:pPr>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rPr>
          <w:color w:val="000000" w:themeColor="text1"/>
          <w:highlight w:val="none"/>
        </w:rPr>
      </w:r>
    </w:p>
    <w:p>
      <w:pPr>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color w:val="000000" w:themeColor="text1"/>
          <w:highlight w:val="none"/>
        </w:rPr>
      </w:r>
    </w:p>
    <w:p>
      <w:pPr>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000000" w:themeColor="text1"/>
          <w:highlight w:val="none"/>
        </w:rP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color w:val="000000" w:themeColor="text1"/>
          <w:highlight w:val="none"/>
        </w:rPr>
      </w:r>
    </w:p>
    <w:p>
      <w:pPr>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color w:val="000000" w:themeColor="text1"/>
          <w:highlight w:val="none"/>
        </w:rPr>
      </w:r>
    </w:p>
    <w:p>
      <w:pPr>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color w:val="000000" w:themeColor="text1"/>
          <w:highlight w:val="none"/>
        </w:rPr>
      </w:r>
    </w:p>
    <w:p>
      <w:pPr>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color w:val="000000" w:themeColor="text1"/>
          <w:highlight w:val="none"/>
        </w:rPr>
      </w:r>
    </w:p>
    <w:p>
      <w:pPr>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color w:val="000000" w:themeColor="text1"/>
          <w:highlight w:val="none"/>
        </w:rPr>
      </w:r>
    </w:p>
    <w:p>
      <w:pPr>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color w:val="000000" w:themeColor="text1"/>
          <w:highlight w:val="none"/>
        </w:rPr>
      </w:r>
    </w:p>
    <w:p>
      <w:pPr>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color w:val="000000" w:themeColor="text1"/>
          <w:highlight w:val="none"/>
        </w:rPr>
      </w:r>
    </w:p>
    <w:p>
      <w:pPr>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color w:val="000000" w:themeColor="text1"/>
          <w:highlight w:val="none"/>
        </w:rP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JSZC-320200-JZCG-G2026-0028</w:t>
      </w:r>
      <w:r>
        <w:rPr>
          <w:color w:val="000000" w:themeColor="text1"/>
          <w:highlight w:val="none"/>
        </w:rPr>
      </w:r>
    </w:p>
    <w:tbl>
      <w:tblPr>
        <w:tblStyle w:val="67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color w:val="000000" w:themeColor="text1"/>
                <w:highlight w:val="none"/>
              </w:rPr>
            </w:r>
          </w:p>
        </w:tc>
        <w:tc>
          <w:tcPr>
            <w:tcW w:w="3188"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rPr>
                <w:color w:val="000000" w:themeColor="text1"/>
                <w:highlight w:val="none"/>
              </w:rPr>
            </w:r>
          </w:p>
        </w:tc>
      </w:tr>
      <w:tr>
        <w:trPr>
          <w:cantSplit/>
          <w:trHeight w:val="1630"/>
        </w:trPr>
        <w:tc>
          <w:tcPr>
            <w:tcW w:w="5697" w:type="dxa"/>
            <w:vAlign w:val="center"/>
            <w:textDirection w:val="lrTb"/>
            <w:noWrap w:val="false"/>
          </w:tcPr>
          <w:p>
            <w:pPr>
              <w:pStyle w:val="964"/>
              <w:jc w:val="center"/>
              <w:spacing w:line="400" w:lineRule="exact"/>
              <w:rPr>
                <w:rFonts w:hint="eastAsia" w:hAnsi="宋体"/>
                <w:bCs/>
                <w:color w:val="000000" w:themeColor="text1"/>
                <w:szCs w:val="24"/>
                <w:highlight w:val="none"/>
              </w:rPr>
            </w:pPr>
            <w:r>
              <w:rPr>
                <w:rFonts w:hint="eastAsia" w:hAnsi="宋体"/>
                <w:bCs/>
                <w:color w:val="000000" w:themeColor="text1"/>
                <w:szCs w:val="24"/>
                <w:highlight w:val="none"/>
              </w:rPr>
              <w:t xml:space="preserve">省预算管理一体化系统运维服务项目(2026-2027)</w:t>
            </w:r>
            <w:r>
              <w:rPr>
                <w:color w:val="000000" w:themeColor="text1"/>
                <w:highlight w:val="none"/>
              </w:rPr>
            </w:r>
          </w:p>
        </w:tc>
        <w:tc>
          <w:tcPr>
            <w:tcW w:w="3188" w:type="dxa"/>
            <w:vAlign w:val="center"/>
            <w:textDirection w:val="lrTb"/>
            <w:noWrap w:val="false"/>
          </w:tcPr>
          <w:p>
            <w:pPr>
              <w:pStyle w:val="964"/>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color w:val="000000" w:themeColor="text1"/>
                <w:highlight w:val="none"/>
              </w:rP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000000" w:themeColor="text1"/>
          <w:highlight w:val="none"/>
        </w:rPr>
      </w:r>
    </w:p>
    <w:p>
      <w:p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rPr>
          <w:color w:val="000000" w:themeColor="text1"/>
          <w:highlight w:val="none"/>
        </w:rPr>
      </w:r>
    </w:p>
    <w:p>
      <w:pPr>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color w:val="000000" w:themeColor="text1"/>
          <w:highlight w:val="none"/>
        </w:rP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JSZC-320200-JZCG-G2026-0028</w:t>
      </w:r>
      <w:r>
        <w:rPr>
          <w:color w:val="000000" w:themeColor="text1"/>
          <w:highlight w:val="none"/>
        </w:rPr>
      </w:r>
    </w:p>
    <w:tbl>
      <w:tblPr>
        <w:tblStyle w:val="679"/>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highlight w:val="none"/>
              </w:rPr>
            </w:r>
          </w:p>
        </w:tc>
        <w:tc>
          <w:tcPr>
            <w:tcMar>
              <w:left w:w="15" w:type="dxa"/>
              <w:top w:w="15" w:type="dxa"/>
              <w:right w:w="15" w:type="dxa"/>
              <w:bottom w:w="0" w:type="dxa"/>
            </w:tcMar>
            <w:tcW w:w="4930" w:type="dxa"/>
            <w:vAlign w:val="center"/>
            <w:textDirection w:val="lrTb"/>
            <w:noWrap/>
          </w:tcPr>
          <w:p>
            <w:pPr>
              <w:jc w:val="center"/>
              <w:spacing w:before="5"/>
              <w:rPr>
                <w:color w:val="000000" w:themeColor="text1"/>
                <w:sz w:val="18"/>
                <w:highlight w:val="none"/>
              </w:rPr>
            </w:pPr>
            <w:r>
              <w:rPr>
                <w:color w:val="000000" w:themeColor="text1"/>
                <w:sz w:val="18"/>
                <w:highlight w:val="none"/>
              </w:rPr>
              <w:t xml:space="preserve">服务内容</w:t>
            </w:r>
            <w:r>
              <w:rPr>
                <w:color w:val="000000" w:themeColor="text1"/>
                <w:highlight w:val="none"/>
              </w:rPr>
            </w:r>
          </w:p>
        </w:tc>
        <w:tc>
          <w:tcPr>
            <w:tcW w:w="851"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highlight w:val="none"/>
              </w:rPr>
            </w:r>
          </w:p>
        </w:tc>
        <w:tc>
          <w:tcPr>
            <w:tcMar>
              <w:left w:w="15" w:type="dxa"/>
              <w:top w:w="15" w:type="dxa"/>
              <w:right w:w="15" w:type="dxa"/>
              <w:bottom w:w="0" w:type="dxa"/>
            </w:tcMar>
            <w:tcW w:w="850" w:type="dxa"/>
            <w:vAlign w:val="center"/>
            <w:textDirection w:val="lrTb"/>
            <w:noWrap/>
          </w:tcPr>
          <w:p>
            <w:pPr>
              <w:jc w:val="center"/>
              <w:spacing w:before="5"/>
              <w:rPr>
                <w:color w:val="000000" w:themeColor="text1"/>
                <w:sz w:val="18"/>
                <w:highlight w:val="none"/>
              </w:rPr>
            </w:pPr>
            <w:r>
              <w:rPr>
                <w:rFonts w:hint="eastAsia"/>
                <w:color w:val="000000" w:themeColor="text1"/>
                <w:sz w:val="18"/>
                <w:highlight w:val="none"/>
              </w:rPr>
              <w:t xml:space="preserve">单位</w:t>
            </w:r>
            <w:r>
              <w:rPr>
                <w:color w:val="000000" w:themeColor="text1"/>
                <w:highlight w:val="none"/>
              </w:rPr>
            </w:r>
          </w:p>
        </w:tc>
        <w:tc>
          <w:tcPr>
            <w:tcW w:w="1134"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highlight w:val="none"/>
              </w:rPr>
            </w:r>
          </w:p>
        </w:tc>
        <w:tc>
          <w:tcPr>
            <w:tcW w:w="1276"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highlight w:val="none"/>
              </w:rPr>
            </w:r>
          </w:p>
        </w:tc>
      </w:tr>
      <w:tr>
        <w:trPr>
          <w:cantSplit/>
          <w:jc w:val="center"/>
          <w:trHeight w:val="717"/>
        </w:trPr>
        <w:tc>
          <w:tcPr>
            <w:tcMar>
              <w:left w:w="15" w:type="dxa"/>
              <w:top w:w="15" w:type="dxa"/>
              <w:right w:w="15" w:type="dxa"/>
              <w:bottom w:w="0" w:type="dxa"/>
            </w:tcMar>
            <w:tcW w:w="420" w:type="dxa"/>
            <w:vAlign w:val="center"/>
            <w:textDirection w:val="lrTb"/>
            <w:noWrap/>
          </w:tcPr>
          <w:p>
            <w:pPr>
              <w:pStyle w:val="898"/>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color w:val="000000" w:themeColor="text1"/>
                <w:highlight w:val="none"/>
              </w:rP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p>
        </w:tc>
        <w:tc>
          <w:tcPr>
            <w:tcW w:w="851"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p>
        </w:tc>
        <w:tc>
          <w:tcPr>
            <w:tcW w:w="1134"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rPr>
            </w:pPr>
            <w:r>
              <w:rPr>
                <w:rFonts w:hint="eastAsia" w:ascii="宋体"/>
                <w:color w:val="000000" w:themeColor="text1"/>
                <w:sz w:val="18"/>
                <w:highlight w:val="none"/>
              </w:rPr>
              <w:t xml:space="preserve">2</w:t>
            </w:r>
            <w:r>
              <w:rPr>
                <w:color w:val="000000" w:themeColor="text1"/>
                <w:highlight w:val="none"/>
              </w:rP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p>
        </w:tc>
        <w:tc>
          <w:tcPr>
            <w:tcW w:w="851"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p>
        </w:tc>
        <w:tc>
          <w:tcPr>
            <w:tcW w:w="1134"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jc w:val="center"/>
              <w:rPr>
                <w:rFonts w:hint="eastAsia" w:ascii="黑体" w:eastAsia="黑体"/>
                <w:b/>
                <w:bCs/>
                <w:color w:val="000000" w:themeColor="text1"/>
                <w:highlight w:val="none"/>
              </w:rPr>
            </w:pPr>
            <w:r>
              <w:rPr>
                <w:rFonts w:ascii="黑体" w:eastAsia="黑体"/>
                <w:b/>
                <w:bCs/>
                <w:color w:val="000000" w:themeColor="text1"/>
                <w:highlight w:val="none"/>
              </w:rPr>
              <w:t xml:space="preserve">……</w:t>
            </w:r>
            <w:r>
              <w:rPr>
                <w:color w:val="000000" w:themeColor="text1"/>
                <w:highlight w:val="none"/>
              </w:rPr>
            </w:r>
          </w:p>
        </w:tc>
        <w:tc>
          <w:tcPr>
            <w:tcW w:w="851"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1134"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bl>
    <w:p>
      <w:pPr>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color w:val="000000" w:themeColor="text1"/>
          <w:highlight w:val="none"/>
        </w:rPr>
      </w:r>
    </w:p>
    <w:p>
      <w:pPr>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p>
    <w:p>
      <w:pPr>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color w:val="000000" w:themeColor="text1"/>
          <w:highlight w:val="none"/>
        </w:rPr>
      </w:r>
    </w:p>
    <w:p>
      <w:pPr>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）“采购需求”中如有明确要求进行分项报价的，投标人应当根据</w:t>
      </w:r>
      <w:r>
        <w:rPr>
          <w:rFonts w:hint="eastAsia" w:ascii="宋体" w:hAnsi="宋体"/>
          <w:bCs/>
          <w:color w:val="000000" w:themeColor="text1"/>
          <w:highlight w:val="none"/>
          <w:lang w:val="en-US" w:eastAsia="zh-CN"/>
        </w:rPr>
        <w:t xml:space="preserve">相应</w:t>
      </w:r>
      <w:r>
        <w:rPr>
          <w:rFonts w:hint="eastAsia" w:ascii="宋体" w:hAnsi="宋体"/>
          <w:bCs/>
          <w:color w:val="000000" w:themeColor="text1"/>
          <w:highlight w:val="none"/>
        </w:rPr>
        <w:t xml:space="preserve">要求在上表中详细填写。</w:t>
      </w:r>
      <w:r>
        <w:rPr>
          <w:color w:val="000000" w:themeColor="text1"/>
          <w:highlight w:val="none"/>
        </w:rPr>
      </w:r>
    </w:p>
    <w:p>
      <w:pPr>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bookmarkStart w:id="207" w:name="_GoBack"/>
      <w:r>
        <w:rPr>
          <w:color w:val="000000" w:themeColor="text1"/>
          <w:highlight w:val="none"/>
        </w:rPr>
      </w:r>
      <w:bookmarkEnd w:id="207"/>
      <w:r>
        <w:rPr>
          <w:color w:val="000000" w:themeColor="text1"/>
          <w:highlight w:val="none"/>
        </w:rPr>
      </w:r>
      <w:r>
        <w:rPr>
          <w:color w:val="000000" w:themeColor="text1"/>
          <w:highlight w:val="none"/>
        </w:rPr>
      </w:r>
    </w:p>
    <w:p>
      <w:pPr>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ind w:firstLine="315"/>
        <w:spacing w:line="400" w:lineRule="exact"/>
        <w:rPr>
          <w:rFonts w:ascii="宋体" w:hAnsi="宋体"/>
          <w:bCs/>
          <w:color w:val="000000" w:themeColor="text1"/>
          <w:highlight w:val="none"/>
        </w:rPr>
        <w:outlineLvl w:val="0"/>
      </w:pPr>
      <w:r>
        <w:rPr>
          <w:rFonts w:ascii="宋体" w:hAnsi="宋体"/>
          <w:bCs/>
          <w:color w:val="000000" w:themeColor="text1"/>
          <w:highlight w:val="none"/>
        </w:rPr>
      </w:r>
      <w:r>
        <w:rPr>
          <w:color w:val="000000" w:themeColor="text1"/>
          <w:highlight w:val="none"/>
        </w:rPr>
      </w:r>
    </w:p>
    <w:p>
      <w:pPr>
        <w:spacing w:line="360" w:lineRule="auto"/>
        <w:rPr>
          <w:rFonts w:hint="eastAsia"/>
          <w:b/>
          <w:color w:val="000000" w:themeColor="text1"/>
          <w:sz w:val="28"/>
          <w:szCs w:val="28"/>
          <w:highlight w:val="none"/>
        </w:rPr>
      </w:pPr>
      <w:r>
        <w:rPr>
          <w:rFonts w:ascii="宋体" w:hAnsi="宋体"/>
          <w:bCs/>
          <w:color w:val="000000" w:themeColor="text1"/>
          <w:highlight w:val="none"/>
        </w:rPr>
        <w:br w:type="page" w:clear="all"/>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Start w:id="202" w:name="_Toc120614284"/>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color w:val="000000" w:themeColor="text1"/>
          <w:highlight w:val="none"/>
        </w:rPr>
      </w:r>
    </w:p>
    <w:p>
      <w:pPr>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color w:val="000000" w:themeColor="text1"/>
          <w:highlight w:val="none"/>
        </w:rP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JSZC-320200-JZCG-G2026-0028</w:t>
      </w:r>
      <w:r>
        <w:rPr>
          <w:color w:val="000000" w:themeColor="text1"/>
          <w:highlight w:val="none"/>
        </w:rPr>
      </w:r>
    </w:p>
    <w:tbl>
      <w:tblPr>
        <w:tblStyle w:val="67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highlight w:val="none"/>
              </w:rP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p>
    <w:p>
      <w:pPr>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highlight w:val="none"/>
        </w:rPr>
      </w:r>
    </w:p>
    <w:p>
      <w:pPr>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）如无任何技术偏离，请于本表 “偏离说明”中注明“无偏离”；</w:t>
      </w:r>
      <w:r>
        <w:rPr>
          <w:color w:val="000000" w:themeColor="text1"/>
          <w:highlight w:val="none"/>
        </w:rPr>
      </w:r>
    </w:p>
    <w:p>
      <w:pPr>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（3）如有技术偏离项，请于本表中列明偏离内容，如需要可自行延长，其余无偏离内容不须赘述。</w:t>
      </w:r>
      <w:bookmarkEnd w:id="189"/>
      <w:r>
        <w:rPr>
          <w:color w:val="000000" w:themeColor="text1"/>
          <w:highlight w:val="none"/>
        </w:rPr>
      </w:r>
      <w:bookmarkEnd w:id="190"/>
      <w:r>
        <w:rPr>
          <w:color w:val="000000" w:themeColor="text1"/>
          <w:highlight w:val="none"/>
        </w:rPr>
      </w:r>
      <w:bookmarkEnd w:id="202"/>
      <w:r>
        <w:rPr>
          <w:color w:val="000000" w:themeColor="text1"/>
          <w:highlight w:val="none"/>
        </w:rPr>
      </w:r>
      <w:bookmarkStart w:id="203" w:name="_Hlt26671374"/>
      <w:r>
        <w:rPr>
          <w:color w:val="000000" w:themeColor="text1"/>
          <w:highlight w:val="none"/>
        </w:rPr>
      </w:r>
      <w:bookmarkEnd w:id="203"/>
      <w:r>
        <w:rPr>
          <w:color w:val="000000" w:themeColor="text1"/>
          <w:highlight w:val="none"/>
        </w:rPr>
      </w:r>
      <w:bookmarkStart w:id="204" w:name="_格式2__法定代表人授权书"/>
      <w:r>
        <w:rPr>
          <w:color w:val="000000" w:themeColor="text1"/>
          <w:highlight w:val="none"/>
        </w:rPr>
      </w:r>
      <w:bookmarkEnd w:id="204"/>
      <w:r>
        <w:rPr>
          <w:color w:val="000000" w:themeColor="text1"/>
          <w:highlight w:val="none"/>
        </w:rPr>
      </w:r>
      <w:bookmarkStart w:id="205" w:name="_Hlt26609389"/>
      <w:r>
        <w:rPr>
          <w:color w:val="000000" w:themeColor="text1"/>
          <w:highlight w:val="none"/>
        </w:rPr>
      </w:r>
      <w:bookmarkEnd w:id="205"/>
      <w:r>
        <w:rPr>
          <w:color w:val="000000" w:themeColor="text1"/>
          <w:highlight w:val="none"/>
        </w:rPr>
      </w:r>
      <w:bookmarkStart w:id="206" w:name="_Hlt26955066"/>
      <w:r>
        <w:rPr>
          <w:color w:val="000000" w:themeColor="text1"/>
          <w:highlight w:val="none"/>
        </w:rPr>
      </w:r>
      <w:bookmarkEnd w:id="206"/>
      <w:r>
        <w:rPr>
          <w:color w:val="000000" w:themeColor="text1"/>
          <w:highlight w:val="none"/>
        </w:rPr>
      </w:r>
      <w:r>
        <w:rPr>
          <w:color w:val="000000" w:themeColor="text1"/>
          <w:highlight w:val="none"/>
        </w:rPr>
      </w:r>
    </w:p>
    <w:p>
      <w:pPr>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color w:val="000000" w:themeColor="text1"/>
          <w:highlight w:val="none"/>
        </w:rPr>
      </w:r>
    </w:p>
    <w:p>
      <w:pP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color w:val="000000" w:themeColor="text1"/>
          <w:highlight w:val="none"/>
        </w:rP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JSZC-320200-JZCG-G2026-0028</w:t>
      </w:r>
      <w:r>
        <w:rPr>
          <w:color w:val="000000" w:themeColor="text1"/>
          <w:highlight w:val="none"/>
        </w:rP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序号</w:t>
            </w:r>
            <w:r>
              <w:rPr>
                <w:color w:val="000000" w:themeColor="text1"/>
                <w:highlight w:val="none"/>
              </w:rPr>
            </w:r>
          </w:p>
        </w:tc>
        <w:tc>
          <w:tcPr>
            <w:tcW w:w="147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姓名</w:t>
            </w:r>
            <w:r>
              <w:rPr>
                <w:color w:val="000000" w:themeColor="text1"/>
                <w:highlight w:val="none"/>
              </w:rPr>
            </w:r>
          </w:p>
        </w:tc>
        <w:tc>
          <w:tcPr>
            <w:tcW w:w="720"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年龄</w:t>
            </w:r>
            <w:r>
              <w:rPr>
                <w:color w:val="000000" w:themeColor="text1"/>
                <w:highlight w:val="none"/>
              </w:rPr>
            </w:r>
          </w:p>
        </w:tc>
        <w:tc>
          <w:tcPr>
            <w:tcW w:w="2520"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本项目职责</w:t>
            </w:r>
            <w:r>
              <w:rPr>
                <w:color w:val="000000" w:themeColor="text1"/>
                <w:highlight w:val="none"/>
              </w:rPr>
            </w:r>
          </w:p>
        </w:tc>
        <w:tc>
          <w:tcPr>
            <w:tcW w:w="3274"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人员证书名称</w:t>
            </w:r>
            <w:r>
              <w:rPr>
                <w:color w:val="000000" w:themeColor="text1"/>
                <w:highlight w:val="none"/>
              </w:rP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bl>
    <w:p>
      <w:pPr>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p>
    <w:p>
      <w:pPr>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color w:val="000000" w:themeColor="text1"/>
          <w:highlight w:val="none"/>
        </w:rPr>
      </w:r>
    </w:p>
    <w:p>
      <w:pPr>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东文宋体">
    <w:panose1 w:val="020B0503020202020204"/>
  </w:font>
  <w:font w:name="汉仪书宋二S">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23"/>
        <w:rFonts w:ascii="宋体" w:hAnsi="宋体"/>
      </w:rPr>
      <w:framePr w:wrap="around" w:vAnchor="text" w:hAnchor="margin" w:xAlign="center" w:y="1"/>
    </w:pPr>
    <w:r>
      <w:rPr>
        <w:rFonts w:ascii="宋体" w:hAnsi="宋体"/>
      </w:rPr>
      <w:fldChar w:fldCharType="begin"/>
    </w:r>
    <w:r>
      <w:rPr>
        <w:rStyle w:val="923"/>
        <w:rFonts w:ascii="宋体" w:hAnsi="宋体"/>
      </w:rPr>
      <w:instrText xml:space="preserve">PAGE  </w:instrText>
    </w:r>
    <w:r>
      <w:rPr>
        <w:rFonts w:ascii="宋体" w:hAnsi="宋体"/>
      </w:rPr>
      <w:fldChar w:fldCharType="separate"/>
    </w:r>
    <w:r>
      <w:rPr>
        <w:rStyle w:val="923"/>
        <w:rFonts w:ascii="宋体" w:hAnsi="宋体"/>
      </w:rPr>
      <w:t xml:space="preserve">５５</w:t>
    </w:r>
    <w:r>
      <w:rPr>
        <w:rFonts w:ascii="宋体" w:hAnsi="宋体"/>
      </w:rPr>
      <w:fldChar w:fldCharType="end"/>
    </w:r>
    <w:r/>
  </w:p>
  <w:p>
    <w:pPr>
      <w:pStyle w:val="89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6"/>
      <w:isLgl w:val="false"/>
      <w:suff w:val="nothing"/>
      <w:lvlText w:val=""/>
      <w:lvlJc w:val="left"/>
      <w:pPr>
        <w:ind w:left="0" w:firstLine="0"/>
      </w:pPr>
      <w:rPr>
        <w:rFonts w:hint="eastAsia"/>
      </w:rPr>
    </w:lvl>
    <w:lvl w:ilvl="6">
      <w:start w:val="1"/>
      <w:numFmt w:val="decimal"/>
      <w:pStyle w:val="857"/>
      <w:isLgl w:val="false"/>
      <w:suff w:val="nothing"/>
      <w:lvlText w:val=""/>
      <w:lvlJc w:val="left"/>
      <w:pPr>
        <w:ind w:left="0" w:firstLine="0"/>
      </w:pPr>
      <w:rPr>
        <w:rFonts w:hint="eastAsia"/>
      </w:rPr>
    </w:lvl>
    <w:lvl w:ilvl="7">
      <w:start w:val="1"/>
      <w:numFmt w:val="decimal"/>
      <w:pStyle w:val="858"/>
      <w:isLgl w:val="false"/>
      <w:suff w:val="nothing"/>
      <w:lvlText w:val=""/>
      <w:lvlJc w:val="left"/>
      <w:pPr>
        <w:ind w:left="0" w:firstLine="0"/>
      </w:pPr>
      <w:rPr>
        <w:rFonts w:hint="eastAsia"/>
      </w:rPr>
    </w:lvl>
    <w:lvl w:ilvl="8">
      <w:start w:val="1"/>
      <w:numFmt w:val="decimal"/>
      <w:pStyle w:val="859"/>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b/>
        <w:color w:val="000000"/>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link w:val="92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9">
    <w:name w:val="Heading 1"/>
    <w:basedOn w:val="668"/>
    <w:next w:val="668"/>
    <w:link w:val="702"/>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03"/>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04"/>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05"/>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06"/>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07"/>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09"/>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0"/>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customStyle="1">
    <w:name w:val="正文文本11"/>
    <w:basedOn w:val="668"/>
    <w:uiPriority w:val="0"/>
    <w:qFormat/>
    <w:rPr>
      <w:sz w:val="18"/>
      <w:szCs w:val="20"/>
    </w:rPr>
  </w:style>
  <w:style w:type="paragraph" w:styleId="681">
    <w:name w:val="toc 7"/>
    <w:basedOn w:val="668"/>
    <w:next w:val="668"/>
    <w:uiPriority w:val="39"/>
    <w:unhideWhenUsed/>
    <w:qFormat/>
    <w:pPr>
      <w:ind w:left="1701" w:right="0" w:firstLine="0"/>
      <w:spacing w:after="57"/>
    </w:pPr>
  </w:style>
  <w:style w:type="paragraph" w:styleId="682">
    <w:name w:val="Caption"/>
    <w:basedOn w:val="668"/>
    <w:next w:val="668"/>
    <w:uiPriority w:val="35"/>
    <w:semiHidden/>
    <w:unhideWhenUsed/>
    <w:qFormat/>
    <w:pPr>
      <w:spacing w:line="276" w:lineRule="auto"/>
    </w:pPr>
    <w:rPr>
      <w:b/>
      <w:bCs/>
      <w:color w:val="4f81bd" w:themeColor="accent1"/>
      <w:sz w:val="18"/>
      <w:szCs w:val="18"/>
    </w:rPr>
  </w:style>
  <w:style w:type="paragraph" w:styleId="683">
    <w:name w:val="toc 5"/>
    <w:basedOn w:val="668"/>
    <w:next w:val="668"/>
    <w:uiPriority w:val="39"/>
    <w:unhideWhenUsed/>
    <w:qFormat/>
    <w:pPr>
      <w:ind w:left="1134" w:right="0" w:firstLine="0"/>
      <w:spacing w:after="57"/>
    </w:pPr>
  </w:style>
  <w:style w:type="paragraph" w:styleId="684">
    <w:name w:val="toc 3"/>
    <w:basedOn w:val="668"/>
    <w:next w:val="668"/>
    <w:uiPriority w:val="39"/>
    <w:unhideWhenUsed/>
    <w:qFormat/>
    <w:pPr>
      <w:ind w:left="567" w:right="0" w:firstLine="0"/>
      <w:spacing w:after="57"/>
    </w:pPr>
  </w:style>
  <w:style w:type="paragraph" w:styleId="685">
    <w:name w:val="toc 8"/>
    <w:basedOn w:val="668"/>
    <w:next w:val="668"/>
    <w:uiPriority w:val="39"/>
    <w:unhideWhenUsed/>
    <w:qFormat/>
    <w:pPr>
      <w:ind w:left="1984" w:right="0" w:firstLine="0"/>
      <w:spacing w:after="57"/>
    </w:pPr>
  </w:style>
  <w:style w:type="paragraph" w:styleId="686">
    <w:name w:val="endnote text"/>
    <w:basedOn w:val="668"/>
    <w:link w:val="848"/>
    <w:uiPriority w:val="99"/>
    <w:semiHidden/>
    <w:unhideWhenUsed/>
    <w:qFormat/>
    <w:pPr>
      <w:spacing w:after="0" w:line="240" w:lineRule="auto"/>
    </w:pPr>
    <w:rPr>
      <w:sz w:val="20"/>
    </w:rPr>
  </w:style>
  <w:style w:type="paragraph" w:styleId="687">
    <w:name w:val="Footer"/>
    <w:basedOn w:val="668"/>
    <w:link w:val="721"/>
    <w:uiPriority w:val="99"/>
    <w:unhideWhenUsed/>
    <w:qFormat/>
    <w:pPr>
      <w:spacing w:after="0" w:line="240" w:lineRule="auto"/>
      <w:tabs>
        <w:tab w:val="center" w:pos="7143" w:leader="none"/>
        <w:tab w:val="right" w:pos="14287" w:leader="none"/>
      </w:tabs>
    </w:pPr>
  </w:style>
  <w:style w:type="paragraph" w:styleId="688">
    <w:name w:val="Header"/>
    <w:basedOn w:val="668"/>
    <w:link w:val="719"/>
    <w:uiPriority w:val="99"/>
    <w:unhideWhenUsed/>
    <w:qFormat/>
    <w:pPr>
      <w:spacing w:after="0" w:line="240" w:lineRule="auto"/>
      <w:tabs>
        <w:tab w:val="center" w:pos="7143" w:leader="none"/>
        <w:tab w:val="right" w:pos="14287" w:leader="none"/>
      </w:tabs>
    </w:pPr>
  </w:style>
  <w:style w:type="paragraph" w:styleId="689">
    <w:name w:val="toc 1"/>
    <w:basedOn w:val="668"/>
    <w:next w:val="668"/>
    <w:uiPriority w:val="39"/>
    <w:unhideWhenUsed/>
    <w:pPr>
      <w:ind w:left="0" w:right="0" w:firstLine="0"/>
      <w:spacing w:after="57"/>
    </w:pPr>
  </w:style>
  <w:style w:type="paragraph" w:styleId="690">
    <w:name w:val="toc 4"/>
    <w:basedOn w:val="668"/>
    <w:next w:val="668"/>
    <w:uiPriority w:val="39"/>
    <w:unhideWhenUsed/>
    <w:qFormat/>
    <w:pPr>
      <w:ind w:left="850" w:right="0" w:firstLine="0"/>
      <w:spacing w:after="57"/>
    </w:pPr>
  </w:style>
  <w:style w:type="paragraph" w:styleId="691">
    <w:name w:val="Subtitle"/>
    <w:basedOn w:val="668"/>
    <w:next w:val="668"/>
    <w:link w:val="714"/>
    <w:uiPriority w:val="11"/>
    <w:qFormat/>
    <w:pPr>
      <w:spacing w:before="200" w:after="200"/>
    </w:pPr>
    <w:rPr>
      <w:sz w:val="24"/>
      <w:szCs w:val="24"/>
    </w:rPr>
  </w:style>
  <w:style w:type="paragraph" w:styleId="692">
    <w:name w:val="footnote text"/>
    <w:basedOn w:val="668"/>
    <w:link w:val="847"/>
    <w:uiPriority w:val="99"/>
    <w:semiHidden/>
    <w:unhideWhenUsed/>
    <w:qFormat/>
    <w:pPr>
      <w:spacing w:after="40" w:line="240" w:lineRule="auto"/>
    </w:pPr>
    <w:rPr>
      <w:sz w:val="18"/>
    </w:rPr>
  </w:style>
  <w:style w:type="paragraph" w:styleId="693">
    <w:name w:val="toc 6"/>
    <w:basedOn w:val="668"/>
    <w:next w:val="668"/>
    <w:uiPriority w:val="39"/>
    <w:unhideWhenUsed/>
    <w:qFormat/>
    <w:pPr>
      <w:ind w:left="1417" w:right="0" w:firstLine="0"/>
      <w:spacing w:after="57"/>
    </w:pPr>
  </w:style>
  <w:style w:type="paragraph" w:styleId="694">
    <w:name w:val="table of figures"/>
    <w:basedOn w:val="668"/>
    <w:next w:val="668"/>
    <w:uiPriority w:val="99"/>
    <w:unhideWhenUsed/>
    <w:qFormat/>
    <w:pPr>
      <w:spacing w:after="0" w:afterAutospacing="0"/>
    </w:pPr>
  </w:style>
  <w:style w:type="paragraph" w:styleId="695">
    <w:name w:val="toc 2"/>
    <w:basedOn w:val="668"/>
    <w:next w:val="668"/>
    <w:uiPriority w:val="39"/>
    <w:unhideWhenUsed/>
    <w:qFormat/>
    <w:pPr>
      <w:ind w:left="283" w:right="0" w:firstLine="0"/>
      <w:spacing w:after="57"/>
    </w:pPr>
  </w:style>
  <w:style w:type="paragraph" w:styleId="696">
    <w:name w:val="toc 9"/>
    <w:basedOn w:val="668"/>
    <w:next w:val="668"/>
    <w:uiPriority w:val="39"/>
    <w:unhideWhenUsed/>
    <w:pPr>
      <w:ind w:left="2268" w:right="0" w:firstLine="0"/>
      <w:spacing w:after="57"/>
    </w:pPr>
  </w:style>
  <w:style w:type="paragraph" w:styleId="697">
    <w:name w:val="Title"/>
    <w:basedOn w:val="668"/>
    <w:next w:val="668"/>
    <w:link w:val="713"/>
    <w:uiPriority w:val="10"/>
    <w:qFormat/>
    <w:pPr>
      <w:contextualSpacing/>
      <w:spacing w:before="300" w:after="200"/>
    </w:pPr>
    <w:rPr>
      <w:sz w:val="48"/>
      <w:szCs w:val="48"/>
    </w:rPr>
  </w:style>
  <w:style w:type="table" w:styleId="698">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uiPriority w:val="99"/>
    <w:semiHidden/>
    <w:unhideWhenUsed/>
    <w:rPr>
      <w:vertAlign w:val="superscript"/>
    </w:rPr>
  </w:style>
  <w:style w:type="character" w:styleId="700">
    <w:name w:val="Hyperlink"/>
    <w:uiPriority w:val="99"/>
    <w:unhideWhenUsed/>
    <w:rPr>
      <w:color w:val="0000ff" w:themeColor="hyperlink"/>
      <w:u w:val="single"/>
    </w:rPr>
  </w:style>
  <w:style w:type="character" w:styleId="701">
    <w:name w:val="footnote reference"/>
    <w:uiPriority w:val="99"/>
    <w:unhideWhenUsed/>
    <w:rPr>
      <w:vertAlign w:val="superscript"/>
    </w:rPr>
  </w:style>
  <w:style w:type="character" w:styleId="702" w:customStyle="1">
    <w:name w:val="Heading 1 Char"/>
    <w:link w:val="669"/>
    <w:uiPriority w:val="9"/>
    <w:qFormat/>
    <w:rPr>
      <w:rFonts w:ascii="Arial" w:hAnsi="Arial" w:eastAsia="Arial" w:cs="Arial"/>
      <w:sz w:val="40"/>
      <w:szCs w:val="40"/>
    </w:rPr>
  </w:style>
  <w:style w:type="character" w:styleId="703" w:customStyle="1">
    <w:name w:val="Heading 2 Char"/>
    <w:link w:val="670"/>
    <w:uiPriority w:val="9"/>
    <w:rPr>
      <w:rFonts w:ascii="Arial" w:hAnsi="Arial" w:eastAsia="Arial" w:cs="Arial"/>
      <w:sz w:val="34"/>
    </w:rPr>
  </w:style>
  <w:style w:type="character" w:styleId="704" w:customStyle="1">
    <w:name w:val="Heading 3 Char"/>
    <w:link w:val="671"/>
    <w:uiPriority w:val="9"/>
    <w:rPr>
      <w:rFonts w:ascii="Arial" w:hAnsi="Arial" w:eastAsia="Arial" w:cs="Arial"/>
      <w:sz w:val="30"/>
      <w:szCs w:val="30"/>
    </w:rPr>
  </w:style>
  <w:style w:type="character" w:styleId="705" w:customStyle="1">
    <w:name w:val="Heading 4 Char"/>
    <w:link w:val="672"/>
    <w:uiPriority w:val="9"/>
    <w:rPr>
      <w:rFonts w:ascii="Arial" w:hAnsi="Arial" w:eastAsia="Arial" w:cs="Arial"/>
      <w:b/>
      <w:bCs/>
      <w:sz w:val="26"/>
      <w:szCs w:val="26"/>
    </w:rPr>
  </w:style>
  <w:style w:type="character" w:styleId="706" w:customStyle="1">
    <w:name w:val="Heading 5 Char"/>
    <w:link w:val="673"/>
    <w:uiPriority w:val="9"/>
    <w:qFormat/>
    <w:rPr>
      <w:rFonts w:ascii="Arial" w:hAnsi="Arial" w:eastAsia="Arial" w:cs="Arial"/>
      <w:b/>
      <w:bCs/>
      <w:sz w:val="24"/>
      <w:szCs w:val="24"/>
    </w:rPr>
  </w:style>
  <w:style w:type="character" w:styleId="707" w:customStyle="1">
    <w:name w:val="Heading 6 Char"/>
    <w:link w:val="674"/>
    <w:uiPriority w:val="9"/>
    <w:qFormat/>
    <w:rPr>
      <w:rFonts w:ascii="Arial" w:hAnsi="Arial" w:eastAsia="Arial" w:cs="Arial"/>
      <w:b/>
      <w:bCs/>
      <w:sz w:val="22"/>
      <w:szCs w:val="22"/>
    </w:rPr>
  </w:style>
  <w:style w:type="character" w:styleId="708" w:customStyle="1">
    <w:name w:val="Heading 7 Char"/>
    <w:link w:val="675"/>
    <w:uiPriority w:val="9"/>
    <w:rPr>
      <w:rFonts w:ascii="Arial" w:hAnsi="Arial" w:eastAsia="Arial" w:cs="Arial"/>
      <w:b/>
      <w:bCs/>
      <w:i/>
      <w:iCs/>
      <w:sz w:val="22"/>
      <w:szCs w:val="22"/>
    </w:rPr>
  </w:style>
  <w:style w:type="character" w:styleId="709" w:customStyle="1">
    <w:name w:val="Heading 8 Char"/>
    <w:link w:val="676"/>
    <w:uiPriority w:val="9"/>
    <w:rPr>
      <w:rFonts w:ascii="Arial" w:hAnsi="Arial" w:eastAsia="Arial" w:cs="Arial"/>
      <w:i/>
      <w:iCs/>
      <w:sz w:val="22"/>
      <w:szCs w:val="22"/>
    </w:rPr>
  </w:style>
  <w:style w:type="character" w:styleId="710" w:customStyle="1">
    <w:name w:val="Heading 9 Char"/>
    <w:link w:val="677"/>
    <w:uiPriority w:val="9"/>
    <w:rPr>
      <w:rFonts w:ascii="Arial" w:hAnsi="Arial" w:eastAsia="Arial" w:cs="Arial"/>
      <w:i/>
      <w:iCs/>
      <w:sz w:val="21"/>
      <w:szCs w:val="21"/>
    </w:rPr>
  </w:style>
  <w:style w:type="paragraph" w:styleId="711">
    <w:name w:val="List Paragraph"/>
    <w:basedOn w:val="668"/>
    <w:uiPriority w:val="34"/>
    <w:qFormat/>
    <w:pPr>
      <w:contextualSpacing/>
      <w:ind w:left="720"/>
    </w:pPr>
  </w:style>
  <w:style w:type="paragraph" w:styleId="712">
    <w:name w:val="No Spacing"/>
    <w:uiPriority w:val="1"/>
    <w:qFormat/>
    <w:pPr>
      <w:spacing w:before="0" w:after="0" w:line="240" w:lineRule="auto"/>
    </w:pPr>
    <w:rPr>
      <w:rFonts w:hint="default" w:ascii="Calibri" w:hAnsi="Calibri" w:eastAsia="宋体" w:cs="Times New Roman"/>
    </w:rPr>
  </w:style>
  <w:style w:type="character" w:styleId="713" w:customStyle="1">
    <w:name w:val="Title Char"/>
    <w:link w:val="697"/>
    <w:uiPriority w:val="10"/>
    <w:qFormat/>
    <w:rPr>
      <w:sz w:val="48"/>
      <w:szCs w:val="48"/>
    </w:rPr>
  </w:style>
  <w:style w:type="character" w:styleId="714" w:customStyle="1">
    <w:name w:val="Subtitle Char"/>
    <w:link w:val="691"/>
    <w:uiPriority w:val="11"/>
    <w:qFormat/>
    <w:rPr>
      <w:sz w:val="24"/>
      <w:szCs w:val="24"/>
    </w:rPr>
  </w:style>
  <w:style w:type="paragraph" w:styleId="715">
    <w:name w:val="Quote"/>
    <w:basedOn w:val="668"/>
    <w:next w:val="668"/>
    <w:link w:val="716"/>
    <w:uiPriority w:val="29"/>
    <w:qFormat/>
    <w:pPr>
      <w:ind w:left="720" w:right="720"/>
    </w:pPr>
    <w:rPr>
      <w:i/>
    </w:rPr>
  </w:style>
  <w:style w:type="character" w:styleId="716" w:customStyle="1">
    <w:name w:val="Quote Char"/>
    <w:link w:val="715"/>
    <w:uiPriority w:val="29"/>
    <w:rPr>
      <w:i/>
    </w:rPr>
  </w:style>
  <w:style w:type="paragraph" w:styleId="717">
    <w:name w:val="Intense Quote"/>
    <w:basedOn w:val="668"/>
    <w:next w:val="668"/>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rPr>
      <w:i/>
    </w:rPr>
  </w:style>
  <w:style w:type="character" w:styleId="719" w:customStyle="1">
    <w:name w:val="Header Char"/>
    <w:link w:val="688"/>
    <w:uiPriority w:val="99"/>
  </w:style>
  <w:style w:type="character" w:styleId="720" w:customStyle="1">
    <w:name w:val="Footer Char"/>
    <w:link w:val="687"/>
    <w:uiPriority w:val="99"/>
  </w:style>
  <w:style w:type="character" w:styleId="721" w:customStyle="1">
    <w:name w:val="Caption Char"/>
    <w:link w:val="687"/>
    <w:uiPriority w:val="99"/>
  </w:style>
  <w:style w:type="table" w:styleId="7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4"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5"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6"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7"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8"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9"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6"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0"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3"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5"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6"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7"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8"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9"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Footnote Text Char"/>
    <w:link w:val="692"/>
    <w:uiPriority w:val="99"/>
    <w:rPr>
      <w:sz w:val="18"/>
    </w:rPr>
  </w:style>
  <w:style w:type="character" w:styleId="848" w:customStyle="1">
    <w:name w:val="Endnote Text Char"/>
    <w:link w:val="686"/>
    <w:uiPriority w:val="99"/>
    <w:rPr>
      <w:sz w:val="20"/>
    </w:rPr>
  </w:style>
  <w:style w:type="paragraph" w:styleId="849" w:customStyle="1">
    <w:name w:val="TOC Heading"/>
    <w:uiPriority w:val="39"/>
    <w:unhideWhenUsed/>
    <w:rPr>
      <w:rFonts w:hint="default" w:ascii="Calibri" w:hAnsi="Calibri" w:eastAsia="宋体" w:cs="Times New Roman"/>
    </w:rPr>
  </w:style>
  <w:style w:type="paragraph" w:styleId="850" w:customStyle="1">
    <w:name w:val="标题 11"/>
    <w:basedOn w:val="668"/>
    <w:next w:val="668"/>
    <w:link w:val="862"/>
    <w:uiPriority w:val="0"/>
    <w:qFormat/>
    <w:pPr>
      <w:jc w:val="center"/>
      <w:keepNext/>
      <w:outlineLvl w:val="0"/>
    </w:pPr>
    <w:rPr>
      <w:rFonts w:ascii="楷体_GB2312" w:eastAsia="楷体_GB2312"/>
      <w:sz w:val="28"/>
      <w:szCs w:val="28"/>
    </w:rPr>
  </w:style>
  <w:style w:type="paragraph" w:styleId="851" w:customStyle="1">
    <w:name w:val="标题 21"/>
    <w:basedOn w:val="668"/>
    <w:next w:val="852"/>
    <w:link w:val="863"/>
    <w:uiPriority w:val="0"/>
    <w:qFormat/>
    <w:pPr>
      <w:jc w:val="center"/>
      <w:keepLines/>
      <w:keepNext/>
      <w:spacing w:before="260" w:after="260" w:line="416" w:lineRule="auto"/>
      <w:outlineLvl w:val="1"/>
    </w:pPr>
    <w:rPr>
      <w:rFonts w:ascii="Arial" w:hAnsi="Arial" w:eastAsia="幼圆"/>
      <w:b/>
      <w:bCs/>
      <w:sz w:val="44"/>
      <w:szCs w:val="44"/>
    </w:rPr>
  </w:style>
  <w:style w:type="paragraph" w:styleId="852" w:customStyle="1">
    <w:name w:val="正文缩进1"/>
    <w:basedOn w:val="668"/>
    <w:link w:val="864"/>
    <w:uiPriority w:val="0"/>
    <w:pPr>
      <w:ind w:firstLine="420"/>
    </w:pPr>
    <w:rPr>
      <w:sz w:val="20"/>
    </w:rPr>
  </w:style>
  <w:style w:type="paragraph" w:styleId="853" w:customStyle="1">
    <w:name w:val="标题 31"/>
    <w:basedOn w:val="668"/>
    <w:next w:val="852"/>
    <w:link w:val="865"/>
    <w:uiPriority w:val="0"/>
    <w:qFormat/>
    <w:pPr>
      <w:keepLines/>
      <w:keepNext/>
      <w:spacing w:before="260" w:after="260" w:line="416" w:lineRule="auto"/>
      <w:outlineLvl w:val="2"/>
    </w:pPr>
    <w:rPr>
      <w:b/>
      <w:bCs/>
      <w:sz w:val="32"/>
      <w:szCs w:val="32"/>
    </w:rPr>
  </w:style>
  <w:style w:type="paragraph" w:styleId="854" w:customStyle="1">
    <w:name w:val="标题 41"/>
    <w:basedOn w:val="668"/>
    <w:next w:val="852"/>
    <w:link w:val="866"/>
    <w:uiPriority w:val="0"/>
    <w:qFormat/>
    <w:pPr>
      <w:keepLines/>
      <w:keepNext/>
      <w:spacing w:before="280" w:after="290" w:line="376" w:lineRule="auto"/>
      <w:outlineLvl w:val="3"/>
    </w:pPr>
    <w:rPr>
      <w:rFonts w:ascii="Arial" w:hAnsi="Arial" w:eastAsia="黑体"/>
      <w:b/>
      <w:bCs/>
      <w:sz w:val="28"/>
      <w:szCs w:val="28"/>
    </w:rPr>
  </w:style>
  <w:style w:type="paragraph" w:styleId="855" w:customStyle="1">
    <w:name w:val="标题 51"/>
    <w:basedOn w:val="668"/>
    <w:next w:val="852"/>
    <w:link w:val="867"/>
    <w:uiPriority w:val="0"/>
    <w:qFormat/>
    <w:pPr>
      <w:keepNext/>
      <w:outlineLvl w:val="4"/>
    </w:pPr>
    <w:rPr>
      <w:rFonts w:ascii="宋体"/>
      <w:color w:val="000000"/>
      <w:sz w:val="28"/>
      <w:szCs w:val="28"/>
    </w:rPr>
  </w:style>
  <w:style w:type="paragraph" w:styleId="856" w:customStyle="1">
    <w:name w:val="标题 61"/>
    <w:basedOn w:val="668"/>
    <w:next w:val="668"/>
    <w:link w:val="86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7" w:customStyle="1">
    <w:name w:val="标题 71"/>
    <w:basedOn w:val="668"/>
    <w:next w:val="668"/>
    <w:link w:val="869"/>
    <w:uiPriority w:val="0"/>
    <w:qFormat/>
    <w:pPr>
      <w:numPr>
        <w:ilvl w:val="6"/>
        <w:numId w:val="1"/>
      </w:numPr>
      <w:keepLines/>
      <w:keepNext/>
      <w:spacing w:before="240" w:after="64" w:line="320" w:lineRule="auto"/>
      <w:outlineLvl w:val="6"/>
    </w:pPr>
    <w:rPr>
      <w:b/>
      <w:bCs/>
      <w:sz w:val="24"/>
      <w:szCs w:val="24"/>
    </w:rPr>
  </w:style>
  <w:style w:type="paragraph" w:styleId="858" w:customStyle="1">
    <w:name w:val="标题 81"/>
    <w:basedOn w:val="668"/>
    <w:next w:val="668"/>
    <w:link w:val="87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9" w:customStyle="1">
    <w:name w:val="标题 91"/>
    <w:basedOn w:val="668"/>
    <w:next w:val="668"/>
    <w:link w:val="871"/>
    <w:uiPriority w:val="0"/>
    <w:qFormat/>
    <w:pPr>
      <w:numPr>
        <w:ilvl w:val="8"/>
        <w:numId w:val="1"/>
      </w:numPr>
      <w:keepLines/>
      <w:keepNext/>
      <w:spacing w:before="240" w:after="64" w:line="320" w:lineRule="auto"/>
      <w:outlineLvl w:val="8"/>
    </w:pPr>
    <w:rPr>
      <w:rFonts w:ascii="Arial" w:hAnsi="Arial" w:eastAsia="黑体"/>
      <w:sz w:val="20"/>
    </w:rPr>
  </w:style>
  <w:style w:type="character" w:styleId="860" w:customStyle="1">
    <w:name w:val="默认段落字体1"/>
    <w:link w:val="668"/>
    <w:uiPriority w:val="1"/>
    <w:unhideWhenUsed/>
  </w:style>
  <w:style w:type="table" w:styleId="861" w:customStyle="1">
    <w:name w:val="普通表格1"/>
    <w:uiPriority w:val="99"/>
    <w:unhideWhenUsed/>
    <w:tblPr/>
  </w:style>
  <w:style w:type="character" w:styleId="862" w:customStyle="1">
    <w:name w:val="标题 1 Char"/>
    <w:link w:val="850"/>
    <w:uiPriority w:val="0"/>
    <w:rPr>
      <w:rFonts w:ascii="楷体_GB2312" w:hAnsi="Times New Roman" w:eastAsia="楷体_GB2312" w:cs="Times New Roman"/>
      <w:sz w:val="28"/>
      <w:szCs w:val="28"/>
    </w:rPr>
  </w:style>
  <w:style w:type="character" w:styleId="863" w:customStyle="1">
    <w:name w:val="标题 2 Char"/>
    <w:link w:val="851"/>
    <w:uiPriority w:val="0"/>
    <w:rPr>
      <w:rFonts w:ascii="Arial" w:hAnsi="Arial" w:eastAsia="幼圆" w:cs="Arial"/>
      <w:b/>
      <w:bCs/>
      <w:sz w:val="44"/>
      <w:szCs w:val="44"/>
    </w:rPr>
  </w:style>
  <w:style w:type="character" w:styleId="864" w:customStyle="1">
    <w:name w:val="正文缩进 Char"/>
    <w:link w:val="852"/>
    <w:uiPriority w:val="0"/>
    <w:rPr>
      <w:rFonts w:ascii="Times New Roman" w:hAnsi="Times New Roman" w:eastAsia="宋体" w:cs="Times New Roman"/>
      <w:szCs w:val="21"/>
    </w:rPr>
  </w:style>
  <w:style w:type="character" w:styleId="865" w:customStyle="1">
    <w:name w:val="标题 3 Char"/>
    <w:link w:val="853"/>
    <w:uiPriority w:val="0"/>
    <w:rPr>
      <w:rFonts w:ascii="Times New Roman" w:hAnsi="Times New Roman" w:eastAsia="宋体" w:cs="Times New Roman"/>
      <w:b/>
      <w:bCs/>
      <w:sz w:val="32"/>
      <w:szCs w:val="32"/>
    </w:rPr>
  </w:style>
  <w:style w:type="character" w:styleId="866" w:customStyle="1">
    <w:name w:val="标题 4 Char"/>
    <w:link w:val="854"/>
    <w:uiPriority w:val="0"/>
    <w:rPr>
      <w:rFonts w:ascii="Arial" w:hAnsi="Arial" w:eastAsia="黑体" w:cs="Arial"/>
      <w:b/>
      <w:bCs/>
      <w:sz w:val="28"/>
      <w:szCs w:val="28"/>
    </w:rPr>
  </w:style>
  <w:style w:type="character" w:styleId="867" w:customStyle="1">
    <w:name w:val="标题 5 Char"/>
    <w:link w:val="855"/>
    <w:uiPriority w:val="0"/>
    <w:rPr>
      <w:rFonts w:ascii="宋体" w:hAnsi="Times New Roman" w:eastAsia="宋体" w:cs="Times New Roman"/>
      <w:color w:val="000000"/>
      <w:sz w:val="28"/>
      <w:szCs w:val="28"/>
    </w:rPr>
  </w:style>
  <w:style w:type="character" w:styleId="868" w:customStyle="1">
    <w:name w:val="标题 6 Char"/>
    <w:link w:val="856"/>
    <w:uiPriority w:val="0"/>
    <w:rPr>
      <w:rFonts w:ascii="Arial" w:hAnsi="Arial" w:eastAsia="黑体" w:cs="Times New Roman"/>
      <w:b/>
      <w:bCs/>
      <w:sz w:val="24"/>
      <w:szCs w:val="24"/>
    </w:rPr>
  </w:style>
  <w:style w:type="character" w:styleId="869" w:customStyle="1">
    <w:name w:val="标题 7 Char"/>
    <w:link w:val="857"/>
    <w:uiPriority w:val="0"/>
    <w:rPr>
      <w:rFonts w:ascii="Times New Roman" w:hAnsi="Times New Roman" w:eastAsia="宋体" w:cs="Times New Roman"/>
      <w:b/>
      <w:bCs/>
      <w:sz w:val="24"/>
      <w:szCs w:val="24"/>
    </w:rPr>
  </w:style>
  <w:style w:type="character" w:styleId="870" w:customStyle="1">
    <w:name w:val="标题 8 Char"/>
    <w:link w:val="858"/>
    <w:uiPriority w:val="0"/>
    <w:rPr>
      <w:rFonts w:ascii="Arial" w:hAnsi="Arial" w:eastAsia="黑体" w:cs="Times New Roman"/>
      <w:sz w:val="24"/>
      <w:szCs w:val="24"/>
    </w:rPr>
  </w:style>
  <w:style w:type="character" w:styleId="871" w:customStyle="1">
    <w:name w:val="标题 9 Char"/>
    <w:link w:val="859"/>
    <w:uiPriority w:val="0"/>
    <w:rPr>
      <w:rFonts w:ascii="Arial" w:hAnsi="Arial" w:eastAsia="黑体" w:cs="Times New Roman"/>
      <w:szCs w:val="21"/>
    </w:rPr>
  </w:style>
  <w:style w:type="paragraph" w:styleId="872" w:customStyle="1">
    <w:name w:val="列表 31"/>
    <w:basedOn w:val="668"/>
    <w:uiPriority w:val="0"/>
    <w:pPr>
      <w:ind w:left="100" w:hanging="200"/>
    </w:pPr>
  </w:style>
  <w:style w:type="paragraph" w:styleId="873" w:customStyle="1">
    <w:name w:val="目录 71"/>
    <w:basedOn w:val="668"/>
    <w:next w:val="668"/>
    <w:uiPriority w:val="0"/>
    <w:semiHidden/>
    <w:pPr>
      <w:ind w:left="1260"/>
      <w:jc w:val="left"/>
    </w:pPr>
  </w:style>
  <w:style w:type="paragraph" w:styleId="874" w:customStyle="1">
    <w:name w:val="文档结构图1"/>
    <w:basedOn w:val="668"/>
    <w:link w:val="875"/>
    <w:uiPriority w:val="0"/>
    <w:semiHidden/>
    <w:pPr>
      <w:shd w:val="clear" w:color="auto" w:fill="000080"/>
    </w:pPr>
    <w:rPr>
      <w:sz w:val="20"/>
    </w:rPr>
  </w:style>
  <w:style w:type="character" w:styleId="875" w:customStyle="1">
    <w:name w:val="文档结构图 Char"/>
    <w:link w:val="874"/>
    <w:uiPriority w:val="0"/>
    <w:semiHidden/>
    <w:rPr>
      <w:rFonts w:ascii="Times New Roman" w:hAnsi="Times New Roman" w:eastAsia="宋体" w:cs="Times New Roman"/>
      <w:szCs w:val="21"/>
      <w:shd w:val="clear" w:color="auto" w:fill="000080"/>
    </w:rPr>
  </w:style>
  <w:style w:type="paragraph" w:styleId="876" w:customStyle="1">
    <w:name w:val="批注文字1"/>
    <w:basedOn w:val="668"/>
    <w:link w:val="877"/>
    <w:uiPriority w:val="0"/>
    <w:semiHidden/>
    <w:pPr>
      <w:jc w:val="left"/>
    </w:pPr>
    <w:rPr>
      <w:sz w:val="20"/>
    </w:rPr>
  </w:style>
  <w:style w:type="character" w:styleId="877" w:customStyle="1">
    <w:name w:val="批注文字 Char"/>
    <w:link w:val="876"/>
    <w:uiPriority w:val="0"/>
    <w:semiHidden/>
    <w:rPr>
      <w:rFonts w:ascii="Times New Roman" w:hAnsi="Times New Roman" w:eastAsia="宋体" w:cs="Times New Roman"/>
      <w:szCs w:val="21"/>
    </w:rPr>
  </w:style>
  <w:style w:type="paragraph" w:styleId="878" w:customStyle="1">
    <w:name w:val="正文文本 31"/>
    <w:basedOn w:val="668"/>
    <w:link w:val="879"/>
    <w:uiPriority w:val="0"/>
    <w:rPr>
      <w:rFonts w:ascii="仿宋_GB2312" w:hAnsi="Arial" w:eastAsia="仿宋_GB2312"/>
      <w:sz w:val="32"/>
      <w:szCs w:val="32"/>
    </w:rPr>
  </w:style>
  <w:style w:type="character" w:styleId="879" w:customStyle="1">
    <w:name w:val="正文文本 3 Char"/>
    <w:link w:val="878"/>
    <w:uiPriority w:val="0"/>
    <w:rPr>
      <w:rFonts w:ascii="仿宋_GB2312" w:hAnsi="Arial" w:eastAsia="仿宋_GB2312" w:cs="Times New Roman"/>
      <w:sz w:val="32"/>
      <w:szCs w:val="32"/>
    </w:rPr>
  </w:style>
  <w:style w:type="paragraph" w:styleId="880" w:customStyle="1">
    <w:name w:val="正文文本1"/>
    <w:basedOn w:val="668"/>
    <w:link w:val="881"/>
    <w:uiPriority w:val="0"/>
    <w:rPr>
      <w:rFonts w:ascii="楷体_GB2312" w:hAnsi="Arial" w:eastAsia="楷体_GB2312"/>
      <w:sz w:val="28"/>
      <w:szCs w:val="28"/>
    </w:rPr>
  </w:style>
  <w:style w:type="character" w:styleId="881" w:customStyle="1">
    <w:name w:val="正文文本 Char"/>
    <w:link w:val="880"/>
    <w:uiPriority w:val="0"/>
    <w:rPr>
      <w:rFonts w:ascii="楷体_GB2312" w:hAnsi="Arial" w:eastAsia="楷体_GB2312" w:cs="Times New Roman"/>
      <w:sz w:val="28"/>
      <w:szCs w:val="28"/>
    </w:rPr>
  </w:style>
  <w:style w:type="paragraph" w:styleId="882" w:customStyle="1">
    <w:name w:val="正文文本缩进1"/>
    <w:basedOn w:val="668"/>
    <w:link w:val="883"/>
    <w:uiPriority w:val="0"/>
    <w:pPr>
      <w:ind w:firstLine="645"/>
    </w:pPr>
    <w:rPr>
      <w:rFonts w:ascii="楷体_GB2312" w:eastAsia="楷体_GB2312"/>
      <w:sz w:val="32"/>
      <w:szCs w:val="32"/>
    </w:rPr>
  </w:style>
  <w:style w:type="character" w:styleId="883" w:customStyle="1">
    <w:name w:val="正文文本缩进 Char"/>
    <w:link w:val="882"/>
    <w:uiPriority w:val="0"/>
    <w:rPr>
      <w:rFonts w:ascii="楷体_GB2312" w:hAnsi="Times New Roman" w:eastAsia="楷体_GB2312" w:cs="Times New Roman"/>
      <w:sz w:val="32"/>
      <w:szCs w:val="32"/>
    </w:rPr>
  </w:style>
  <w:style w:type="paragraph" w:styleId="884" w:customStyle="1">
    <w:name w:val="列表 21"/>
    <w:basedOn w:val="668"/>
    <w:uiPriority w:val="0"/>
    <w:pPr>
      <w:ind w:left="100" w:hanging="200"/>
    </w:pPr>
  </w:style>
  <w:style w:type="paragraph" w:styleId="885" w:customStyle="1">
    <w:name w:val="目录 51"/>
    <w:basedOn w:val="668"/>
    <w:next w:val="668"/>
    <w:uiPriority w:val="0"/>
    <w:semiHidden/>
    <w:pPr>
      <w:ind w:left="840"/>
      <w:jc w:val="left"/>
    </w:pPr>
  </w:style>
  <w:style w:type="paragraph" w:styleId="886" w:customStyle="1">
    <w:name w:val="目录 31"/>
    <w:basedOn w:val="668"/>
    <w:next w:val="668"/>
    <w:uiPriority w:val="0"/>
    <w:semiHidden/>
    <w:pPr>
      <w:ind w:left="420"/>
      <w:jc w:val="left"/>
    </w:pPr>
    <w:rPr>
      <w:i/>
      <w:iCs/>
      <w:szCs w:val="24"/>
    </w:rPr>
  </w:style>
  <w:style w:type="paragraph" w:styleId="887" w:customStyle="1">
    <w:name w:val="纯文本1"/>
    <w:basedOn w:val="668"/>
    <w:link w:val="888"/>
    <w:uiPriority w:val="0"/>
    <w:rPr>
      <w:rFonts w:ascii="宋体" w:hAnsi="Courier New"/>
      <w:sz w:val="20"/>
    </w:rPr>
  </w:style>
  <w:style w:type="character" w:styleId="888" w:customStyle="1">
    <w:name w:val="纯文本 Char"/>
    <w:link w:val="887"/>
    <w:uiPriority w:val="0"/>
    <w:rPr>
      <w:rFonts w:ascii="宋体" w:hAnsi="Courier New" w:eastAsia="宋体" w:cs="Courier New"/>
      <w:szCs w:val="21"/>
    </w:rPr>
  </w:style>
  <w:style w:type="paragraph" w:styleId="889" w:customStyle="1">
    <w:name w:val="目录 81"/>
    <w:basedOn w:val="668"/>
    <w:next w:val="668"/>
    <w:uiPriority w:val="0"/>
    <w:semiHidden/>
    <w:pPr>
      <w:ind w:left="1470"/>
      <w:jc w:val="left"/>
    </w:pPr>
  </w:style>
  <w:style w:type="paragraph" w:styleId="890" w:customStyle="1">
    <w:name w:val="日期1"/>
    <w:basedOn w:val="668"/>
    <w:next w:val="668"/>
    <w:link w:val="891"/>
    <w:uiPriority w:val="0"/>
    <w:rPr>
      <w:sz w:val="24"/>
      <w:szCs w:val="24"/>
    </w:rPr>
  </w:style>
  <w:style w:type="character" w:styleId="891" w:customStyle="1">
    <w:name w:val="日期 Char"/>
    <w:link w:val="890"/>
    <w:uiPriority w:val="0"/>
    <w:rPr>
      <w:rFonts w:ascii="Times New Roman" w:hAnsi="Times New Roman" w:eastAsia="宋体" w:cs="Times New Roman"/>
      <w:sz w:val="24"/>
      <w:szCs w:val="24"/>
    </w:rPr>
  </w:style>
  <w:style w:type="paragraph" w:styleId="892" w:customStyle="1">
    <w:name w:val="正文文本缩进 21"/>
    <w:basedOn w:val="668"/>
    <w:link w:val="893"/>
    <w:uiPriority w:val="0"/>
    <w:pPr>
      <w:ind w:left="630" w:firstLine="645"/>
    </w:pPr>
    <w:rPr>
      <w:rFonts w:ascii="Arial" w:hAnsi="Arial" w:eastAsia="仿宋_GB2312"/>
      <w:sz w:val="32"/>
      <w:szCs w:val="32"/>
    </w:rPr>
  </w:style>
  <w:style w:type="character" w:styleId="893" w:customStyle="1">
    <w:name w:val="正文文本缩进 2 Char"/>
    <w:link w:val="892"/>
    <w:uiPriority w:val="0"/>
    <w:rPr>
      <w:rFonts w:ascii="Arial" w:hAnsi="Arial" w:eastAsia="仿宋_GB2312" w:cs="Arial"/>
      <w:sz w:val="32"/>
      <w:szCs w:val="32"/>
    </w:rPr>
  </w:style>
  <w:style w:type="paragraph" w:styleId="894" w:customStyle="1">
    <w:name w:val="批注框文本1"/>
    <w:basedOn w:val="668"/>
    <w:link w:val="895"/>
    <w:uiPriority w:val="0"/>
    <w:semiHidden/>
    <w:rPr>
      <w:sz w:val="18"/>
      <w:szCs w:val="18"/>
    </w:rPr>
  </w:style>
  <w:style w:type="character" w:styleId="895" w:customStyle="1">
    <w:name w:val="批注框文本 Char"/>
    <w:link w:val="894"/>
    <w:uiPriority w:val="0"/>
    <w:semiHidden/>
    <w:rPr>
      <w:rFonts w:ascii="Times New Roman" w:hAnsi="Times New Roman" w:eastAsia="宋体" w:cs="Times New Roman"/>
      <w:sz w:val="18"/>
      <w:szCs w:val="18"/>
    </w:rPr>
  </w:style>
  <w:style w:type="paragraph" w:styleId="896" w:customStyle="1">
    <w:name w:val="页脚1"/>
    <w:basedOn w:val="668"/>
    <w:link w:val="897"/>
    <w:uiPriority w:val="0"/>
    <w:pPr>
      <w:jc w:val="left"/>
      <w:tabs>
        <w:tab w:val="center" w:pos="4153" w:leader="none"/>
        <w:tab w:val="right" w:pos="8306" w:leader="none"/>
      </w:tabs>
    </w:pPr>
    <w:rPr>
      <w:sz w:val="18"/>
      <w:szCs w:val="18"/>
    </w:rPr>
  </w:style>
  <w:style w:type="character" w:styleId="897" w:customStyle="1">
    <w:name w:val="页脚 Char"/>
    <w:link w:val="896"/>
    <w:uiPriority w:val="0"/>
    <w:rPr>
      <w:rFonts w:ascii="Times New Roman" w:hAnsi="Times New Roman" w:eastAsia="宋体" w:cs="Times New Roman"/>
      <w:sz w:val="18"/>
      <w:szCs w:val="18"/>
    </w:rPr>
  </w:style>
  <w:style w:type="paragraph" w:styleId="898" w:customStyle="1">
    <w:name w:val="页眉1"/>
    <w:basedOn w:val="668"/>
    <w:link w:val="899"/>
    <w:uiPriority w:val="99"/>
    <w:qFormat/>
    <w:pPr>
      <w:jc w:val="center"/>
      <w:tabs>
        <w:tab w:val="center" w:pos="4153" w:leader="none"/>
        <w:tab w:val="right" w:pos="8306" w:leader="none"/>
      </w:tabs>
      <w:pBdr>
        <w:bottom w:val="single" w:color="000000" w:sz="6" w:space="1"/>
      </w:pBdr>
    </w:pPr>
    <w:rPr>
      <w:sz w:val="18"/>
      <w:szCs w:val="18"/>
    </w:rPr>
  </w:style>
  <w:style w:type="character" w:styleId="899" w:customStyle="1">
    <w:name w:val="页眉 Char"/>
    <w:link w:val="898"/>
    <w:uiPriority w:val="99"/>
    <w:qFormat/>
    <w:rPr>
      <w:rFonts w:ascii="Times New Roman" w:hAnsi="Times New Roman" w:eastAsia="宋体" w:cs="Times New Roman"/>
      <w:sz w:val="18"/>
      <w:szCs w:val="18"/>
    </w:rPr>
  </w:style>
  <w:style w:type="paragraph" w:styleId="900" w:customStyle="1">
    <w:name w:val="目录 11"/>
    <w:basedOn w:val="668"/>
    <w:next w:val="668"/>
    <w:uiPriority w:val="0"/>
    <w:semiHidden/>
    <w:pPr>
      <w:jc w:val="left"/>
      <w:spacing w:before="120" w:after="120" w:line="400" w:lineRule="exact"/>
      <w:tabs>
        <w:tab w:val="right" w:pos="8720" w:leader="dot"/>
      </w:tabs>
    </w:pPr>
    <w:rPr>
      <w:rFonts w:ascii="宋体" w:hAnsi="宋体"/>
      <w:caps/>
      <w:sz w:val="24"/>
      <w:szCs w:val="24"/>
    </w:rPr>
  </w:style>
  <w:style w:type="paragraph" w:styleId="901" w:customStyle="1">
    <w:name w:val="目录 41"/>
    <w:basedOn w:val="668"/>
    <w:next w:val="668"/>
    <w:uiPriority w:val="0"/>
    <w:semiHidden/>
    <w:pPr>
      <w:ind w:left="630"/>
      <w:jc w:val="left"/>
    </w:pPr>
  </w:style>
  <w:style w:type="paragraph" w:styleId="902" w:customStyle="1">
    <w:name w:val="列表1"/>
    <w:basedOn w:val="668"/>
    <w:uiPriority w:val="0"/>
    <w:pPr>
      <w:ind w:left="200" w:hanging="200"/>
    </w:pPr>
  </w:style>
  <w:style w:type="paragraph" w:styleId="903" w:customStyle="1">
    <w:name w:val="目录 61"/>
    <w:basedOn w:val="668"/>
    <w:next w:val="668"/>
    <w:uiPriority w:val="0"/>
    <w:semiHidden/>
    <w:pPr>
      <w:ind w:left="1050"/>
      <w:jc w:val="left"/>
    </w:pPr>
  </w:style>
  <w:style w:type="paragraph" w:styleId="904" w:customStyle="1">
    <w:name w:val="正文文本缩进 31"/>
    <w:basedOn w:val="668"/>
    <w:link w:val="905"/>
    <w:uiPriority w:val="0"/>
    <w:pPr>
      <w:ind w:left="645" w:firstLine="645"/>
    </w:pPr>
    <w:rPr>
      <w:rFonts w:ascii="Arial" w:hAnsi="Arial" w:eastAsia="仿宋_GB2312"/>
      <w:color w:val="ffff00"/>
      <w:sz w:val="32"/>
      <w:szCs w:val="32"/>
    </w:rPr>
  </w:style>
  <w:style w:type="character" w:styleId="905" w:customStyle="1">
    <w:name w:val="正文文本缩进 3 Char"/>
    <w:link w:val="904"/>
    <w:uiPriority w:val="0"/>
    <w:rPr>
      <w:rFonts w:ascii="Arial" w:hAnsi="Arial" w:eastAsia="仿宋_GB2312" w:cs="Arial"/>
      <w:color w:val="ffff00"/>
      <w:sz w:val="32"/>
      <w:szCs w:val="32"/>
    </w:rPr>
  </w:style>
  <w:style w:type="paragraph" w:styleId="906" w:customStyle="1">
    <w:name w:val="图表目录1"/>
    <w:basedOn w:val="668"/>
    <w:next w:val="668"/>
    <w:uiPriority w:val="0"/>
    <w:semiHidden/>
    <w:pPr>
      <w:ind w:left="840" w:hanging="420"/>
    </w:pPr>
  </w:style>
  <w:style w:type="paragraph" w:styleId="907" w:customStyle="1">
    <w:name w:val="目录 21"/>
    <w:basedOn w:val="668"/>
    <w:next w:val="668"/>
    <w:uiPriority w:val="0"/>
    <w:semiHidden/>
    <w:pPr>
      <w:ind w:left="210"/>
      <w:jc w:val="left"/>
    </w:pPr>
    <w:rPr>
      <w:smallCaps/>
      <w:szCs w:val="24"/>
    </w:rPr>
  </w:style>
  <w:style w:type="paragraph" w:styleId="908" w:customStyle="1">
    <w:name w:val="目录 91"/>
    <w:basedOn w:val="668"/>
    <w:next w:val="668"/>
    <w:uiPriority w:val="0"/>
    <w:semiHidden/>
    <w:pPr>
      <w:ind w:left="1680"/>
      <w:jc w:val="left"/>
    </w:pPr>
  </w:style>
  <w:style w:type="paragraph" w:styleId="909" w:customStyle="1">
    <w:name w:val="正文文本 21"/>
    <w:basedOn w:val="668"/>
    <w:link w:val="910"/>
    <w:uiPriority w:val="0"/>
    <w:pPr>
      <w:jc w:val="center"/>
      <w:widowControl/>
    </w:pPr>
    <w:rPr>
      <w:rFonts w:ascii="楷体_GB2312" w:eastAsia="楷体_GB2312"/>
      <w:sz w:val="28"/>
      <w:szCs w:val="28"/>
    </w:rPr>
  </w:style>
  <w:style w:type="character" w:styleId="910" w:customStyle="1">
    <w:name w:val="正文文本 2 Char"/>
    <w:link w:val="909"/>
    <w:uiPriority w:val="0"/>
    <w:rPr>
      <w:rFonts w:ascii="楷体_GB2312" w:hAnsi="Times New Roman" w:eastAsia="楷体_GB2312" w:cs="Times New Roman"/>
      <w:sz w:val="28"/>
      <w:szCs w:val="28"/>
    </w:rPr>
  </w:style>
  <w:style w:type="paragraph" w:styleId="911" w:customStyle="1">
    <w:name w:val="HTML 预设格式1"/>
    <w:basedOn w:val="668"/>
    <w:link w:val="912"/>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12" w:customStyle="1">
    <w:name w:val="HTML 预设格式 Char"/>
    <w:basedOn w:val="860"/>
    <w:link w:val="911"/>
    <w:uiPriority w:val="99"/>
    <w:semiHidden/>
    <w:rPr>
      <w:rFonts w:ascii="宋体" w:hAnsi="宋体" w:cs="宋体"/>
      <w:sz w:val="24"/>
      <w:szCs w:val="24"/>
    </w:rPr>
  </w:style>
  <w:style w:type="paragraph" w:styleId="913" w:customStyle="1">
    <w:name w:val="普通(网站)1"/>
    <w:basedOn w:val="668"/>
    <w:uiPriority w:val="99"/>
    <w:pPr>
      <w:jc w:val="left"/>
      <w:spacing w:before="100" w:beforeAutospacing="1" w:after="100" w:afterAutospacing="1"/>
      <w:widowControl/>
    </w:pPr>
    <w:rPr>
      <w:rFonts w:ascii="宋体" w:hAnsi="宋体" w:cs="宋体"/>
      <w:sz w:val="24"/>
      <w:szCs w:val="24"/>
    </w:rPr>
  </w:style>
  <w:style w:type="paragraph" w:styleId="914" w:customStyle="1">
    <w:name w:val="索引 11"/>
    <w:basedOn w:val="668"/>
    <w:next w:val="668"/>
    <w:uiPriority w:val="0"/>
    <w:semiHidden/>
    <w:pPr>
      <w:spacing w:line="240" w:lineRule="atLeast"/>
    </w:pPr>
    <w:rPr>
      <w:b/>
      <w:bCs/>
    </w:rPr>
  </w:style>
  <w:style w:type="paragraph" w:styleId="915" w:customStyle="1">
    <w:name w:val="批注主题1"/>
    <w:basedOn w:val="876"/>
    <w:next w:val="876"/>
    <w:link w:val="916"/>
    <w:uiPriority w:val="0"/>
    <w:semiHidden/>
    <w:rPr>
      <w:b/>
      <w:bCs/>
    </w:rPr>
  </w:style>
  <w:style w:type="character" w:styleId="916" w:customStyle="1">
    <w:name w:val="批注主题 Char"/>
    <w:link w:val="915"/>
    <w:uiPriority w:val="0"/>
    <w:semiHidden/>
    <w:rPr>
      <w:rFonts w:ascii="Times New Roman" w:hAnsi="Times New Roman" w:eastAsia="宋体" w:cs="Times New Roman"/>
      <w:b/>
      <w:bCs/>
      <w:szCs w:val="21"/>
    </w:rPr>
  </w:style>
  <w:style w:type="paragraph" w:styleId="917" w:customStyle="1">
    <w:name w:val="正文首行缩进1"/>
    <w:basedOn w:val="668"/>
    <w:link w:val="918"/>
    <w:uiPriority w:val="0"/>
    <w:pPr>
      <w:ind w:firstLine="200"/>
      <w:spacing w:line="360" w:lineRule="auto"/>
    </w:pPr>
    <w:rPr>
      <w:rFonts w:ascii="仿宋_GB2312" w:eastAsia="仿宋_GB2312"/>
      <w:sz w:val="30"/>
      <w:szCs w:val="30"/>
    </w:rPr>
  </w:style>
  <w:style w:type="character" w:styleId="918" w:customStyle="1">
    <w:name w:val="正文首行缩进 Char"/>
    <w:link w:val="917"/>
    <w:uiPriority w:val="0"/>
    <w:rPr>
      <w:rFonts w:ascii="仿宋_GB2312" w:hAnsi="Times New Roman" w:eastAsia="仿宋_GB2312" w:cs="Times New Roman"/>
      <w:sz w:val="30"/>
      <w:szCs w:val="30"/>
    </w:rPr>
  </w:style>
  <w:style w:type="paragraph" w:styleId="919" w:customStyle="1">
    <w:name w:val="正文首行缩进 21"/>
    <w:basedOn w:val="882"/>
    <w:link w:val="920"/>
    <w:uiPriority w:val="0"/>
    <w:pPr>
      <w:ind w:firstLine="420"/>
      <w:spacing w:line="360" w:lineRule="auto"/>
    </w:pPr>
    <w:rPr>
      <w:rFonts w:ascii="宋体" w:hAnsi="宋体" w:eastAsia="宋体"/>
      <w:szCs w:val="20"/>
    </w:rPr>
  </w:style>
  <w:style w:type="character" w:styleId="920" w:customStyle="1">
    <w:name w:val="正文首行缩进 2 Char"/>
    <w:link w:val="919"/>
    <w:uiPriority w:val="0"/>
    <w:rPr>
      <w:rFonts w:ascii="宋体" w:hAnsi="宋体" w:eastAsia="宋体" w:cs="Times New Roman"/>
      <w:sz w:val="32"/>
      <w:szCs w:val="20"/>
    </w:rPr>
  </w:style>
  <w:style w:type="table" w:styleId="921" w:customStyle="1">
    <w:name w:val="网格型1"/>
    <w:basedOn w:val="861"/>
    <w:uiPriority w:val="0"/>
    <w:pPr>
      <w:jc w:val="both"/>
      <w:widowControl w:val="off"/>
    </w:pPr>
    <w:rPr>
      <w:rFonts w:ascii="Times New Roman" w:hAnsi="Times New Roman" w:eastAsia="宋体" w:cs="Times New Roman"/>
      <w:sz w:val="20"/>
      <w:szCs w:val="20"/>
    </w:rPr>
    <w:tblPr/>
  </w:style>
  <w:style w:type="character" w:styleId="922" w:customStyle="1">
    <w:name w:val="要点1"/>
    <w:link w:val="668"/>
    <w:uiPriority w:val="0"/>
    <w:qFormat/>
    <w:rPr>
      <w:b/>
      <w:bCs/>
    </w:rPr>
  </w:style>
  <w:style w:type="character" w:styleId="923" w:customStyle="1">
    <w:name w:val="页码1"/>
    <w:link w:val="668"/>
    <w:uiPriority w:val="0"/>
  </w:style>
  <w:style w:type="character" w:styleId="924" w:customStyle="1">
    <w:name w:val="已访问的超链接1"/>
    <w:link w:val="668"/>
    <w:uiPriority w:val="0"/>
    <w:rPr>
      <w:color w:val="800080"/>
      <w:u w:val="single"/>
    </w:rPr>
  </w:style>
  <w:style w:type="character" w:styleId="925" w:customStyle="1">
    <w:name w:val="HTML 打字机1"/>
    <w:link w:val="668"/>
    <w:uiPriority w:val="99"/>
    <w:rPr>
      <w:rFonts w:ascii="宋体" w:hAnsi="宋体" w:eastAsia="宋体" w:cs="宋体"/>
      <w:sz w:val="24"/>
      <w:szCs w:val="24"/>
    </w:rPr>
  </w:style>
  <w:style w:type="character" w:styleId="926" w:customStyle="1">
    <w:name w:val="超链接1"/>
    <w:link w:val="668"/>
    <w:uiPriority w:val="0"/>
    <w:rPr>
      <w:color w:val="0000ff"/>
      <w:u w:val="single"/>
    </w:rPr>
  </w:style>
  <w:style w:type="character" w:styleId="927" w:customStyle="1">
    <w:name w:val="批注引用1"/>
    <w:link w:val="668"/>
    <w:uiPriority w:val="0"/>
    <w:semiHidden/>
    <w:rPr>
      <w:sz w:val="21"/>
      <w:szCs w:val="21"/>
    </w:rPr>
  </w:style>
  <w:style w:type="character" w:styleId="928" w:customStyle="1">
    <w:name w:val="font5 Char"/>
    <w:link w:val="668"/>
    <w:uiPriority w:val="0"/>
    <w:rPr>
      <w:rFonts w:ascii="宋体" w:hAnsi="宋体" w:eastAsia="宋体"/>
      <w:sz w:val="28"/>
      <w:szCs w:val="28"/>
      <w:lang w:val="en-US" w:eastAsia="zh-CN" w:bidi="ar-SA"/>
    </w:rPr>
  </w:style>
  <w:style w:type="character" w:styleId="929" w:customStyle="1">
    <w:name w:val="二级目录 Char"/>
    <w:link w:val="930"/>
    <w:uiPriority w:val="0"/>
    <w:rPr>
      <w:b/>
      <w:sz w:val="30"/>
      <w:szCs w:val="28"/>
      <w:lang w:val="en-US" w:eastAsia="zh-CN" w:bidi="ar-SA"/>
    </w:rPr>
  </w:style>
  <w:style w:type="paragraph" w:styleId="930" w:customStyle="1">
    <w:name w:val="二级目录"/>
    <w:next w:val="668"/>
    <w:link w:val="92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68"/>
    <w:link w:val="931"/>
    <w:uiPriority w:val="0"/>
    <w:qFormat/>
    <w:pPr>
      <w:contextualSpacing/>
      <w:ind w:left="720"/>
      <w:jc w:val="left"/>
      <w:widowControl/>
    </w:pPr>
    <w:rPr>
      <w:rFonts w:ascii="Calibri" w:hAnsi="Calibri"/>
      <w:sz w:val="24"/>
      <w:szCs w:val="24"/>
      <w:lang w:eastAsia="en-US" w:bidi="en-US"/>
    </w:rPr>
  </w:style>
  <w:style w:type="paragraph" w:styleId="933" w:customStyle="1">
    <w:name w:val="Body Text(ch)"/>
    <w:basedOn w:val="668"/>
    <w:next w:val="880"/>
    <w:uiPriority w:val="0"/>
    <w:qFormat/>
    <w:pPr>
      <w:spacing w:after="120"/>
    </w:pPr>
    <w:rPr>
      <w:rFonts w:ascii="宋体" w:hAnsi="Arial"/>
      <w:bCs/>
      <w:iCs/>
      <w:szCs w:val="24"/>
    </w:rPr>
  </w:style>
  <w:style w:type="paragraph" w:styleId="934"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6" w:customStyle="1">
    <w:name w:val="Char"/>
    <w:basedOn w:val="668"/>
    <w:uiPriority w:val="0"/>
    <w:qFormat/>
    <w:pPr>
      <w:ind w:firstLine="200"/>
      <w:tabs>
        <w:tab w:val="left" w:pos="360" w:leader="none"/>
      </w:tabs>
    </w:pPr>
    <w:rPr>
      <w:sz w:val="28"/>
      <w:szCs w:val="30"/>
    </w:rPr>
  </w:style>
  <w:style w:type="paragraph" w:styleId="937" w:customStyle="1">
    <w:name w:val=" Char"/>
    <w:basedOn w:val="874"/>
    <w:uiPriority w:val="0"/>
    <w:qFormat/>
    <w:rPr>
      <w:rFonts w:ascii="Tahoma" w:hAnsi="Tahoma"/>
      <w:sz w:val="24"/>
      <w:szCs w:val="24"/>
    </w:rPr>
  </w:style>
  <w:style w:type="paragraph" w:styleId="938"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39" w:customStyle="1">
    <w:name w:val="table_lines"/>
    <w:basedOn w:val="668"/>
    <w:uiPriority w:val="0"/>
    <w:qFormat/>
    <w:pPr>
      <w:jc w:val="left"/>
      <w:widowControl/>
    </w:pPr>
    <w:rPr>
      <w:sz w:val="20"/>
      <w:szCs w:val="20"/>
      <w:lang w:val="de-DE" w:eastAsia="de-DE"/>
    </w:rPr>
  </w:style>
  <w:style w:type="paragraph" w:styleId="94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1"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942" w:customStyle="1">
    <w:name w:val=" Char Char Char Char"/>
    <w:basedOn w:val="874"/>
    <w:uiPriority w:val="0"/>
    <w:qFormat/>
    <w:pPr>
      <w:spacing w:line="360" w:lineRule="auto"/>
    </w:pPr>
    <w:rPr>
      <w:rFonts w:ascii="Tahoma" w:hAnsi="Tahoma"/>
      <w:sz w:val="24"/>
      <w:szCs w:val="24"/>
    </w:rPr>
  </w:style>
  <w:style w:type="paragraph" w:styleId="943" w:customStyle="1">
    <w:name w:val="列出段落"/>
    <w:basedOn w:val="668"/>
    <w:uiPriority w:val="99"/>
    <w:qFormat/>
    <w:pPr>
      <w:contextualSpacing/>
      <w:ind w:left="720"/>
      <w:jc w:val="left"/>
      <w:widowControl/>
    </w:pPr>
    <w:rPr>
      <w:rFonts w:ascii="Calibri" w:hAnsi="Calibri"/>
      <w:sz w:val="24"/>
      <w:szCs w:val="24"/>
      <w:lang w:eastAsia="en-US" w:bidi="en-US"/>
    </w:rPr>
  </w:style>
  <w:style w:type="paragraph" w:styleId="944" w:customStyle="1">
    <w:name w:val="4"/>
    <w:basedOn w:val="668"/>
    <w:next w:val="904"/>
    <w:uiPriority w:val="0"/>
    <w:qFormat/>
    <w:pPr>
      <w:ind w:firstLine="420"/>
      <w:spacing w:line="360" w:lineRule="auto"/>
    </w:pPr>
    <w:rPr>
      <w:color w:val="ff0000"/>
      <w:sz w:val="24"/>
      <w:szCs w:val="24"/>
    </w:rPr>
  </w:style>
  <w:style w:type="paragraph" w:styleId="945"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946" w:customStyle="1">
    <w:name w:val=" Char Char Char Char Char Char Char Char Char Char"/>
    <w:basedOn w:val="668"/>
    <w:uiPriority w:val="0"/>
    <w:qFormat/>
    <w:pPr>
      <w:spacing w:line="360" w:lineRule="auto"/>
    </w:pPr>
    <w:rPr>
      <w:sz w:val="24"/>
      <w:szCs w:val="20"/>
    </w:rPr>
  </w:style>
  <w:style w:type="paragraph" w:styleId="947" w:customStyle="1">
    <w:name w:val="样式1"/>
    <w:basedOn w:val="668"/>
    <w:uiPriority w:val="0"/>
    <w:qFormat/>
    <w:pPr>
      <w:numPr>
        <w:ilvl w:val="0"/>
        <w:numId w:val="3"/>
      </w:numPr>
    </w:pPr>
    <w:rPr>
      <w:rFonts w:ascii="宋体" w:hAnsi="宋体"/>
    </w:rPr>
  </w:style>
  <w:style w:type="paragraph" w:styleId="948"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949"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1"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952"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4"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55"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6"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57"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958" w:customStyle="1">
    <w:name w:val="Char Char Char Char"/>
    <w:basedOn w:val="874"/>
    <w:uiPriority w:val="0"/>
    <w:qFormat/>
    <w:pPr>
      <w:spacing w:line="360" w:lineRule="auto"/>
    </w:pPr>
    <w:rPr>
      <w:rFonts w:ascii="Tahoma" w:hAnsi="Tahoma"/>
      <w:sz w:val="24"/>
      <w:szCs w:val="24"/>
    </w:rPr>
  </w:style>
  <w:style w:type="paragraph" w:styleId="959" w:customStyle="1">
    <w:name w:val="table_1stline"/>
    <w:basedOn w:val="668"/>
    <w:uiPriority w:val="0"/>
    <w:qFormat/>
    <w:pPr>
      <w:jc w:val="left"/>
      <w:spacing w:before="120"/>
      <w:widowControl/>
    </w:pPr>
    <w:rPr>
      <w:bCs/>
      <w:sz w:val="20"/>
      <w:szCs w:val="20"/>
      <w:lang w:val="de-DE" w:eastAsia="de-DE"/>
    </w:rPr>
  </w:style>
  <w:style w:type="paragraph" w:styleId="960"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961"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4" w:customStyle="1">
    <w:name w:val="普通文字"/>
    <w:basedOn w:val="668"/>
    <w:next w:val="668"/>
    <w:uiPriority w:val="99"/>
    <w:qFormat/>
    <w:rPr>
      <w:rFonts w:ascii="宋体" w:hAnsi="Times New Roman" w:eastAsia="宋体" w:cs="Times New Roman"/>
      <w:sz w:val="24"/>
      <w:szCs w:val="20"/>
      <w:u w:val="none"/>
    </w:rPr>
  </w:style>
  <w:style w:type="paragraph" w:styleId="965"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numbering" w:styleId="7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8</cp:revision>
  <dcterms:created xsi:type="dcterms:W3CDTF">2023-03-16T02:16:00Z</dcterms:created>
  <dcterms:modified xsi:type="dcterms:W3CDTF">2026-04-21T03:29:39Z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eyJoZGlkIjoiNjlhNjY4MWZhOWE0YjFhZDI0ZWU1NTAwYTEzZjI2OTIiLCJ1c2VySWQiOiIxMDI1MTM2MDM0In0=</vt:lpwstr>
  </property>
  <property fmtid="{D5CDD505-2E9C-101B-9397-08002B2CF9AE}" pid="3" name="KSOProductBuildVer">
    <vt:lpwstr>2052-12.1.0.25225</vt:lpwstr>
  </property>
  <property fmtid="{D5CDD505-2E9C-101B-9397-08002B2CF9AE}" pid="4" name="ICV">
    <vt:lpwstr>E9BCE6F05E9F4E5D8FDEA267725EEDDF_12</vt:lpwstr>
  </property>
</Properties>
</file>